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875—81.2</w:t>
      </w:r>
      <w:r>
        <w:rPr>
          <w:rFonts w:ascii="Times New Roman" w:hAnsi="Times New Roman"/>
          <w:b/>
          <w:i w:val="false"/>
          <w:color w:val="000000"/>
          <w:sz w:val="22"/>
        </w:rPr>
        <w:t xml:space="preserve">(17A,89) </w:t>
      </w:r>
      <w:r>
        <w:rPr>
          <w:rFonts w:ascii="Times New Roman" w:hAnsi="Times New Roman"/>
          <w:b/>
          <w:i w:val="false"/>
          <w:color w:val="000000"/>
          <w:sz w:val="22"/>
        </w:rPr>
        <w:t xml:space="preserve">Applicability of rule. </w:t>
      </w:r>
      <w:r>
        <w:rPr>
          <w:rFonts w:ascii="Times New Roman" w:hAnsi="Times New Roman"/>
          <w:b w:val="false"/>
          <w:i w:val="false"/>
          <w:color w:val="000000"/>
          <w:sz w:val="22"/>
        </w:rPr>
        <w:t>The board may grant a waiver from a rule only if the board has jurisdiction over the rule and the requested waiver is consistent with applicable statutes, constitutional provisions, or other provisions of law. The board may not waive requirements created or duties imposed by statute.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