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outlines generally applicable standards and a uniform process for the granting of individual waivers from rules adopted by the board. To the extent another more specific provision of law governs the issuance of a waiver from a particular rule, the more specific provision shall supersede this chapter with respect to any waiver from that rule.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