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875—80.2</w:t>
      </w:r>
      <w:r>
        <w:rPr>
          <w:rFonts w:ascii="Times New Roman" w:hAnsi="Times New Roman"/>
          <w:b/>
          <w:i w:val="false"/>
          <w:color w:val="000000"/>
          <w:sz w:val="22"/>
        </w:rPr>
        <w:t xml:space="preserve">(89) </w:t>
      </w:r>
      <w:r>
        <w:rPr>
          <w:rFonts w:ascii="Times New Roman" w:hAnsi="Times New Roman"/>
          <w:b/>
          <w:i w:val="false"/>
          <w:color w:val="000000"/>
          <w:sz w:val="22"/>
        </w:rPr>
        <w:t xml:space="preserve">Purpose and authority of board. </w:t>
      </w:r>
      <w:r>
        <w:rPr>
          <w:rFonts w:ascii="Times New Roman" w:hAnsi="Times New Roman"/>
          <w:b w:val="false"/>
          <w:i w:val="false"/>
          <w:color w:val="000000"/>
          <w:sz w:val="22"/>
        </w:rPr>
        <w:t xml:space="preserve">The purpose of the board is to perform the statutory duties described in Iowa Code chapter </w:t>
      </w:r>
      <w:hyperlink r:id="rId4">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 The board’s mission is to protect the public health, safety and welfare by improving the installation, repair, maintenance, alteration, use, and operation of boilers and pressure vessels in the state. The authority and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val="false"/>
          <w:color w:val="000000"/>
          <w:sz w:val="22"/>
        </w:rPr>
        <w:t>Adopting rules necessary to protect public safety and health and to administer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val="false"/>
          <w:color w:val="000000"/>
          <w:sz w:val="22"/>
        </w:rPr>
        <w:t>Hearing and deciding appeals concerning boiler and pressure vessel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80.2(3)</w:t>
      </w:r>
      <w:r>
        <w:rPr>
          <w:rFonts w:ascii="Times New Roman" w:hAnsi="Times New Roman"/>
          <w:b w:val="false"/>
          <w:i w:val="false"/>
          <w:color w:val="000000"/>
          <w:sz w:val="22"/>
        </w:rPr>
        <w:t> </w:t>
      </w:r>
      <w:r>
        <w:rPr>
          <w:rFonts w:ascii="Times New Roman" w:hAnsi="Times New Roman"/>
          <w:b w:val="false"/>
          <w:i w:val="false"/>
          <w:color w:val="000000"/>
          <w:sz w:val="22"/>
        </w:rPr>
        <w:t>Establishing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80.2(4)</w:t>
      </w:r>
      <w:r>
        <w:rPr>
          <w:rFonts w:ascii="Times New Roman" w:hAnsi="Times New Roman"/>
          <w:b w:val="false"/>
          <w:i w:val="false"/>
          <w:color w:val="000000"/>
          <w:sz w:val="22"/>
        </w:rPr>
        <w:t> </w:t>
      </w:r>
      <w:r>
        <w:rPr>
          <w:rFonts w:ascii="Times New Roman" w:hAnsi="Times New Roman"/>
          <w:b w:val="false"/>
          <w:i w:val="false"/>
          <w:color w:val="000000"/>
          <w:sz w:val="22"/>
        </w:rPr>
        <w:t>Establishing committees of the board, the members and chairpersons of which shall be appointed by the board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80.2(5)</w:t>
      </w:r>
      <w:r>
        <w:rPr>
          <w:rFonts w:ascii="Times New Roman" w:hAnsi="Times New Roman"/>
          <w:b w:val="false"/>
          <w:i w:val="false"/>
          <w:color w:val="000000"/>
          <w:sz w:val="22"/>
        </w:rPr>
        <w:t> </w:t>
      </w:r>
      <w:r>
        <w:rPr>
          <w:rFonts w:ascii="Times New Roman" w:hAnsi="Times New Roman"/>
          <w:b w:val="false"/>
          <w:i w:val="false"/>
          <w:color w:val="000000"/>
          <w:sz w:val="22"/>
        </w:rPr>
        <w:t>Performing any other function authorized by law.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