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761—813.9</w:t>
      </w:r>
      <w:r>
        <w:rPr>
          <w:rFonts w:ascii="Times New Roman" w:hAnsi="Times New Roman"/>
          <w:b/>
          <w:i w:val="false"/>
          <w:color w:val="000000"/>
          <w:sz w:val="22"/>
        </w:rPr>
        <w:t xml:space="preserve">(327F) </w:t>
      </w:r>
      <w:r>
        <w:rPr>
          <w:rFonts w:ascii="Times New Roman" w:hAnsi="Times New Roman"/>
          <w:b/>
          <w:i w:val="false"/>
          <w:color w:val="000000"/>
          <w:sz w:val="22"/>
        </w:rPr>
        <w:t xml:space="preserve">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813.9(1)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owner is provided written notice by an employee, a person working on or near the tracks, or a railroad inspector that a location is in need of a close-clearance warning sign, the owner shall investigate and, if warranted, ensure the placement of a warning sign or signs within 30 calendar days of notification. If a close-clearance warning sign is not warranted, the owner shall inform the person who provided notice, in writing within 30 calendar days, that a sign is not warranted and shall explain why the location does not need a close-clearance warning sign.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813.9(2)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owner fails to respond to a written notice by an employee or another person working on or near the tracks, or if the employee or other person disagrees with the owner’s determination that a warning sign is not warranted, the employee or other person may notify the department. The department shall investigate and make a determination if the location warrants the placement of a close-clearance warning sign.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determines a close-clearance warning sign is warranted, the department shall notify the owner in writing. The owner shall have 14 calendar days from the date of the notification to install the proper warning sign. Failure to install the close-clearance warning sign is evidence that the owner is in violation of Iowa Code section </w:t>
      </w:r>
      <w:hyperlink r:id="rId4">
        <w:r>
          <w:rPr>
            <w:rStyle w:val="Hyperlink"/>
            <w:rFonts w:ascii="Times New Roman" w:hAnsi="Times New Roman"/>
            <w:b w:val="false"/>
            <w:i w:val="false"/>
            <w:color w:val="000000"/>
            <w:sz w:val="22"/>
          </w:rPr>
          <w:t>327F.13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an employee or a person working on or near the tracks may contest the determination. If the determination is contested, </w:t>
      </w:r>
      <w:hyperlink r:id="rId5">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 xml:space="preserve"> applies.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8202B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7F.13.pdf" Type="http://schemas.openxmlformats.org/officeDocument/2006/relationships/hyperlink" Id="rId4"/>
    <Relationship TargetMode="External" Target="https://www.legis.iowa.gov/docs/iac/chapter/761.13.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