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761—813.6</w:t>
      </w:r>
      <w:r>
        <w:rPr>
          <w:rFonts w:ascii="Times New Roman" w:hAnsi="Times New Roman"/>
          <w:b/>
          <w:i w:val="false"/>
          <w:color w:val="000000"/>
          <w:sz w:val="22"/>
        </w:rPr>
        <w:t xml:space="preserve">(327F) </w:t>
      </w:r>
      <w:r>
        <w:rPr>
          <w:rFonts w:ascii="Times New Roman" w:hAnsi="Times New Roman"/>
          <w:b/>
          <w:i w:val="false"/>
          <w:color w:val="000000"/>
          <w:sz w:val="22"/>
        </w:rPr>
        <w:t xml:space="preserve">Signing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813.6(1)</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or signs are required at all locations where there is close clearance. It is the responsibility of the owner to ensure that all close-clearance locations have warning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obstruction creating a close-clearance situation is a temporary or nonpermanent obstruction, in lieu of signing the owner may meet the requirements of this rule by opting to remove the obstruction or remove the track from service until the obstruction is removed.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813.6(3)</w:t>
      </w:r>
      <w:r>
        <w:rPr>
          <w:rFonts w:ascii="Times New Roman" w:hAnsi="Times New Roman"/>
          <w:b w:val="false"/>
          <w:i w:val="false"/>
          <w:color w:val="000000"/>
          <w:sz w:val="22"/>
        </w:rPr>
        <w:t> </w:t>
      </w:r>
      <w:r>
        <w:rPr>
          <w:rFonts w:ascii="Times New Roman" w:hAnsi="Times New Roman"/>
          <w:b w:val="false"/>
          <w:i w:val="false"/>
          <w:color w:val="000000"/>
          <w:sz w:val="22"/>
        </w:rPr>
        <w:t xml:space="preserve">A close-clearance warning sign shall be placed in a location that provides adequate notice to a person who is lawfully riding the side of a train so that the person may prepare for the close clearance.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813.6(4)</w:t>
      </w:r>
      <w:r>
        <w:rPr>
          <w:rFonts w:ascii="Times New Roman" w:hAnsi="Times New Roman"/>
          <w:b w:val="false"/>
          <w:i w:val="false"/>
          <w:color w:val="000000"/>
          <w:sz w:val="22"/>
        </w:rPr>
        <w:t> </w:t>
      </w:r>
      <w:r>
        <w:rPr>
          <w:rFonts w:ascii="Times New Roman" w:hAnsi="Times New Roman"/>
          <w:b w:val="false"/>
          <w:i w:val="false"/>
          <w:color w:val="000000"/>
          <w:sz w:val="22"/>
        </w:rPr>
        <w:t>A close-clearance warning sign shall comply with the following requirements. A warning sign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the words “no clearance.” The letters must be black on a white reflective background and be a minimum of 3 inches high.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a vertical sign not less than 42 inches in height and 4 inches in width.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placed at least 1 foot off the ground or on the obstruction and within 3 feet of the close-clearance location or on the obstruction. Signs shall be located on both sides of the obstruction so as to be visible from both directions.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be within 8 feet of the centerline of the tracks.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813.6(5)</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placement of the close-clearance warning sign according to paragraph </w:t>
      </w:r>
      <w:hyperlink r:id="rId4">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5">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does not provide adequate notice for a person who is lawfully riding the side of a train to prepare for the close clearance (such as a curve or other sight obstruction), an additional sign reading “no clearance ahead” shall be placed in a location that provides adequate notice to the person who is lawfully riding the side of the train so that the person may prepare for the close clearance. Depending on the particular environment that makes an additional no clearance ahead sign necessary, a no clearance ahead sign may be required on one or on both sides of the obstruction so as to be visible from both directions.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813.6(6)</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that the physical environment prevents the placement of a warning sign in accordance with paragraph </w:t>
      </w:r>
      <w:hyperlink r:id="rId6">
        <w:r>
          <w:rPr>
            <w:rStyle w:val="Hyperlink"/>
            <w:rFonts w:ascii="Times New Roman" w:hAnsi="Times New Roman"/>
            <w:b w:val="false"/>
            <w:i w:val="false"/>
            <w:color w:val="000000"/>
            <w:sz w:val="22"/>
          </w:rPr>
          <w:t>813.6(4)</w:t>
        </w:r>
        <w:r>
          <w:rPr>
            <w:rFonts w:ascii="Times New Roman" w:hAnsi="Times New Roman"/>
            <w:b w:val="false"/>
            <w:i/>
            <w:color w:val="000000"/>
            <w:sz w:val="22"/>
          </w:rPr>
          <w:t>“c”</w:t>
        </w:r>
      </w:hyperlink>
      <w:r>
        <w:rPr>
          <w:rFonts w:ascii="Times New Roman" w:hAnsi="Times New Roman"/>
          <w:b w:val="false"/>
          <w:i w:val="false"/>
          <w:color w:val="000000"/>
          <w:sz w:val="22"/>
        </w:rPr>
        <w:t xml:space="preserve"> or </w:t>
      </w:r>
      <w:hyperlink r:id="rId7">
        <w:r>
          <w:rPr>
            <w:rStyle w:val="Hyperlink"/>
            <w:rFonts w:ascii="Times New Roman" w:hAnsi="Times New Roman"/>
            <w:b w:val="false"/>
            <w:i w:val="false"/>
            <w:color w:val="000000"/>
            <w:sz w:val="22"/>
          </w:rPr>
          <w:t>813.6(4)</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sign shall be placed in a highly visible location that is clearly indicative of the point of close clearance. An alternative size and shape of sign may be used if there is no location available where a standard size and shape sign may be used. Any alternative sign must clearly be identifiable as an indicator of the close-clearance situation.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813.6(7)</w:t>
      </w:r>
      <w:r>
        <w:rPr>
          <w:rFonts w:ascii="Times New Roman" w:hAnsi="Times New Roman"/>
          <w:b w:val="false"/>
          <w:i w:val="false"/>
          <w:color w:val="000000"/>
          <w:sz w:val="22"/>
        </w:rPr>
        <w:t> </w:t>
      </w:r>
      <w:r>
        <w:rPr>
          <w:rFonts w:ascii="Times New Roman" w:hAnsi="Times New Roman"/>
          <w:b w:val="false"/>
          <w:i w:val="false"/>
          <w:color w:val="000000"/>
          <w:sz w:val="22"/>
        </w:rPr>
        <w:t xml:space="preserve">In limited situations where multiple instances of insufficient clearance occur within a confined area or over a distance, and where posting of multiple warning signs could on its own be a safety hazard, or where multiple signs would create a confusing environment making it difficult to discern the areas that lack clearance, a sign reading “no clearance ahead” may be posted in lieu of multiple signs.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813.6(8)</w:t>
      </w:r>
      <w:r>
        <w:rPr>
          <w:rFonts w:ascii="Times New Roman" w:hAnsi="Times New Roman"/>
          <w:b w:val="false"/>
          <w:i w:val="false"/>
          <w:color w:val="000000"/>
          <w:sz w:val="22"/>
        </w:rPr>
        <w:t> </w:t>
      </w:r>
      <w:r>
        <w:rPr>
          <w:rFonts w:ascii="Times New Roman" w:hAnsi="Times New Roman"/>
          <w:b w:val="false"/>
          <w:i w:val="false"/>
          <w:color w:val="000000"/>
          <w:sz w:val="22"/>
        </w:rPr>
        <w:t>A line or other marker shall be maintained at a distance of 8 feet from the centerline of the track on all platforms, excluding passenger platforms, to indicate the space along the edge of such platform that shall be kept clear of merchandise, material, or other articles that could create a temporary close-clearance situation.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813.6(9)</w:t>
      </w:r>
      <w:r>
        <w:rPr>
          <w:rFonts w:ascii="Times New Roman" w:hAnsi="Times New Roman"/>
          <w:b w:val="false"/>
          <w:i w:val="false"/>
          <w:color w:val="000000"/>
          <w:sz w:val="22"/>
        </w:rPr>
        <w:t> </w:t>
      </w:r>
      <w:r>
        <w:rPr>
          <w:rFonts w:ascii="Times New Roman" w:hAnsi="Times New Roman"/>
          <w:b w:val="false"/>
          <w:i w:val="false"/>
          <w:color w:val="000000"/>
          <w:sz w:val="22"/>
        </w:rPr>
        <w:t xml:space="preserve">Placement of a warning sign does not relieve the owner from any duties required under Iowa Code chapter </w:t>
      </w:r>
      <w:hyperlink r:id="rId8">
        <w:r>
          <w:rPr>
            <w:rStyle w:val="Hyperlink"/>
            <w:rFonts w:ascii="Times New Roman" w:hAnsi="Times New Roman"/>
            <w:b w:val="false"/>
            <w:i w:val="false"/>
            <w:color w:val="000000"/>
            <w:sz w:val="22"/>
          </w:rPr>
          <w:t>317</w:t>
        </w:r>
      </w:hyperlink>
      <w:r>
        <w:rPr>
          <w:rFonts w:ascii="Times New Roman" w:hAnsi="Times New Roman"/>
          <w:b w:val="false"/>
          <w:i w:val="false"/>
          <w:color w:val="000000"/>
          <w:sz w:val="22"/>
        </w:rPr>
        <w:t xml:space="preserve"> or Iowa Code section </w:t>
      </w:r>
      <w:hyperlink r:id="rId9">
        <w:r>
          <w:rPr>
            <w:rStyle w:val="Hyperlink"/>
            <w:rFonts w:ascii="Times New Roman" w:hAnsi="Times New Roman"/>
            <w:b w:val="false"/>
            <w:i w:val="false"/>
            <w:color w:val="000000"/>
            <w:sz w:val="22"/>
          </w:rPr>
          <w:t>327F.27</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8202B</w:t>
      </w:r>
      <w:r>
        <w:rPr>
          <w:rFonts w:ascii="Times New Roman" w:hAnsi="Times New Roman"/>
          <w:b w:val="false"/>
          <w:i w:val="false"/>
          <w:color w:val="000000"/>
          <w:sz w:val="16"/>
        </w:rPr>
        <w:t>, IAB 10/7/09, effective 11/11/09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813.6.pdf" Type="http://schemas.openxmlformats.org/officeDocument/2006/relationships/hyperlink" Id="rId4"/>
    <Relationship TargetMode="External" Target="https://www.legis.iowa.gov/docs/iac/rule/761.813.6.pdf" Type="http://schemas.openxmlformats.org/officeDocument/2006/relationships/hyperlink" Id="rId5"/>
    <Relationship TargetMode="External" Target="https://www.legis.iowa.gov/docs/iac/rule/761.813.6.pdf" Type="http://schemas.openxmlformats.org/officeDocument/2006/relationships/hyperlink" Id="rId6"/>
    <Relationship TargetMode="External" Target="https://www.legis.iowa.gov/docs/iac/rule/761.813.6.pdf" Type="http://schemas.openxmlformats.org/officeDocument/2006/relationships/hyperlink" Id="rId7"/>
    <Relationship TargetMode="External" Target="https://www.legis.iowa.gov/docs/ico/chapter/317.pdf" Type="http://schemas.openxmlformats.org/officeDocument/2006/relationships/hyperlink" Id="rId8"/>
    <Relationship TargetMode="External" Target="https://www.legis.iowa.gov/docs/ico/chapter/327F.27.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