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761—750.9</w:t>
      </w:r>
      <w:r>
        <w:rPr>
          <w:rFonts w:ascii="Times New Roman" w:hAnsi="Times New Roman"/>
          <w:b/>
          <w:i w:val="false"/>
          <w:color w:val="000000"/>
          <w:sz w:val="22"/>
        </w:rPr>
        <w:t xml:space="preserve">(328) </w:t>
      </w:r>
      <w:r>
        <w:rPr>
          <w:rFonts w:ascii="Times New Roman" w:hAnsi="Times New Roman"/>
          <w:b/>
          <w:i w:val="false"/>
          <w:color w:val="000000"/>
          <w:sz w:val="22"/>
        </w:rPr>
        <w:t xml:space="preserve">Registration. </w:t>
      </w:r>
      <w:r>
        <w:rPr>
          <w:rFonts w:ascii="Times New Roman" w:hAnsi="Times New Roman"/>
          <w:b w:val="false"/>
          <w:i w:val="false"/>
          <w:color w:val="000000"/>
          <w:sz w:val="22"/>
        </w:rPr>
        <w:t>When a used aircraft is registered in Iowa, the model year of the aircraft shall be used to determine the number of times the aircraft was previously registered, and a reduction of the registration fee shall be computed accordingly. “Model year,” except where otherwise specified, means the year of original manufacture or the year certified by the manufacturer. For the purpose of registration, the model year shall advance one year each January 1.</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328.21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8.21.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