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761—750.15</w:t>
      </w:r>
      <w:r>
        <w:rPr>
          <w:rFonts w:ascii="Times New Roman" w:hAnsi="Times New Roman"/>
          <w:b/>
          <w:i w:val="false"/>
          <w:color w:val="000000"/>
          <w:sz w:val="22"/>
        </w:rPr>
        <w:t xml:space="preserve">(328) </w:t>
      </w:r>
      <w:r>
        <w:rPr>
          <w:rFonts w:ascii="Times New Roman" w:hAnsi="Times New Roman"/>
          <w:b/>
          <w:i w:val="false"/>
          <w:color w:val="000000"/>
          <w:sz w:val="22"/>
        </w:rPr>
        <w:t xml:space="preserve">Aircraft not airworthy. </w:t>
      </w:r>
      <w:r>
        <w:rPr>
          <w:rFonts w:ascii="Times New Roman" w:hAnsi="Times New Roman"/>
          <w:b w:val="false"/>
          <w:i w:val="false"/>
          <w:color w:val="000000"/>
          <w:sz w:val="22"/>
        </w:rPr>
        <w:t>An aircraft that is not airworthy is not subject to registration fees if the owner submits with the registration application a written, signed explanation of the aircraft’s condition and an estimate of the date when the aircraft will be airworthy. The department shall mark the record of the aircraft until the owner notifies the department that the aircraft is airworthy or until the aircraft is no longer subject to registration in Iowa.</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8.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