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761—720.4</w:t>
      </w:r>
      <w:r>
        <w:rPr>
          <w:rFonts w:ascii="Times New Roman" w:hAnsi="Times New Roman"/>
          <w:b/>
          <w:i w:val="false"/>
          <w:color w:val="000000"/>
          <w:sz w:val="22"/>
        </w:rPr>
        <w:t xml:space="preserve">(328) </w:t>
      </w:r>
      <w:r>
        <w:rPr>
          <w:rFonts w:ascii="Times New Roman" w:hAnsi="Times New Roman"/>
          <w:b/>
          <w:i w:val="false"/>
          <w:color w:val="000000"/>
          <w:sz w:val="22"/>
        </w:rPr>
        <w:t xml:space="preserve">Public-use airport. </w:t>
      </w:r>
      <w:r>
        <w:rPr>
          <w:rFonts w:ascii="Times New Roman" w:hAnsi="Times New Roman"/>
          <w:b w:val="false"/>
          <w:i w:val="false"/>
          <w:color w:val="000000"/>
          <w:sz w:val="22"/>
        </w:rPr>
        <w:t>Airport registration requirements apply to public-use airports.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When construction of a new airport is completed, the sponsor shall notify the department. The department shall inspect the airport and, if the airport is in compliance with the minimum safety standards designated by the department, shall issue the airport a public-use airport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720.4(2)</w:t>
      </w:r>
      <w:r>
        <w:rPr>
          <w:rFonts w:ascii="Times New Roman" w:hAnsi="Times New Roman"/>
          <w:b w:val="false"/>
          <w:i w:val="false"/>
          <w:color w:val="000000"/>
          <w:sz w:val="22"/>
        </w:rPr>
        <w:t> </w:t>
      </w:r>
      <w:r>
        <w:rPr>
          <w:rFonts w:ascii="Times New Roman" w:hAnsi="Times New Roman"/>
          <w:b w:val="false"/>
          <w:i/>
          <w:color w:val="000000"/>
          <w:sz w:val="22"/>
        </w:rPr>
        <w:t xml:space="preserve">Registration renewal. </w:t>
      </w:r>
      <w:r>
        <w:rPr>
          <w:rFonts w:ascii="Times New Roman" w:hAnsi="Times New Roman"/>
          <w:b w:val="false"/>
          <w:i w:val="false"/>
          <w:color w:val="000000"/>
          <w:sz w:val="22"/>
        </w:rPr>
        <w:t>Each public-use airport shall apply annually for a registration renewal on a form provided by the department. The department shall issue a public-use airport certificate of registration to a public-use airport if the airport is in compliance with the minimum safety standards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720.4(3)</w:t>
      </w:r>
      <w:r>
        <w:rPr>
          <w:rFonts w:ascii="Times New Roman" w:hAnsi="Times New Roman"/>
          <w:b w:val="false"/>
          <w:i w:val="false"/>
          <w:color w:val="000000"/>
          <w:sz w:val="22"/>
        </w:rPr>
        <w:t> </w:t>
      </w:r>
      <w:r>
        <w:rPr>
          <w:rFonts w:ascii="Times New Roman" w:hAnsi="Times New Roman"/>
          <w:b w:val="false"/>
          <w:i/>
          <w:color w:val="000000"/>
          <w:sz w:val="22"/>
        </w:rPr>
        <w:t xml:space="preserve">Airport inspection. </w:t>
      </w:r>
      <w:r>
        <w:rPr>
          <w:rFonts w:ascii="Times New Roman" w:hAnsi="Times New Roman"/>
          <w:b w:val="false"/>
          <w:i w:val="false"/>
          <w:color w:val="000000"/>
          <w:sz w:val="22"/>
        </w:rPr>
        <w:t>Each registered public-use airport is subject to inspection by the department at any reasonable time. If the inspection by the department reveals an unsafe condition or a failure to meet the minimum safety standards, the department shall record that fact and shall notify the airport sponsor in writing with necessary corrective actions. Failure to implement corrective actions may result in airport registration revocation or denial. An FAA inspection of an airport certified under 14 CFR Part 139 may be accepted in lieu of an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720.4(4)</w:t>
      </w:r>
      <w:r>
        <w:rPr>
          <w:rFonts w:ascii="Times New Roman" w:hAnsi="Times New Roman"/>
          <w:b w:val="false"/>
          <w:i w:val="false"/>
          <w:color w:val="000000"/>
          <w:sz w:val="22"/>
        </w:rPr>
        <w:t> </w:t>
      </w:r>
      <w:r>
        <w:rPr>
          <w:rFonts w:ascii="Times New Roman" w:hAnsi="Times New Roman"/>
          <w:b w:val="false"/>
          <w:i/>
          <w:color w:val="000000"/>
          <w:sz w:val="22"/>
        </w:rPr>
        <w:t xml:space="preserve">Posting. </w:t>
      </w:r>
      <w:r>
        <w:rPr>
          <w:rFonts w:ascii="Times New Roman" w:hAnsi="Times New Roman"/>
          <w:b w:val="false"/>
          <w:i w:val="false"/>
          <w:color w:val="000000"/>
          <w:sz w:val="22"/>
        </w:rPr>
        <w:t>The airport certificate of registration shall be posted in a prominent place available to the public at the airport. If there are no buildings at the airport, the certificate shall be displayed at the office of the airport manager or caretaker.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3301C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5943C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6616C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