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761—717.5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Eligible project activities.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Activities that are eligible for reimbursement include, but are not limited to,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717.5(1)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Hangar renovation or construction including associated design, land acquisition, grading and foundation work.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717.5(2)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Fuel facilities including associated design, land acquisition, grading and foundation work.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717.5(3)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Terminal building renovation or construction including associated design, land acquisition, grading and foundation work.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717.5(4)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Relocating an existing hangar, terminal building or fuel facility to correct violations of federal safety or design standards. Work shall include all associated design, land acquisition, grading and foundation work.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