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761—717.11</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717.11(1)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a project has been approved by the commission, the department shall enter into an agreement with the airport sponsor that specifies the responsibilities of the sponsor. The agreement shall specify the amount of state funds, the contract period, the payment process, and the responsibilities for project planning, development, and reporting. The department may inspect the improvement for compliance with the agreement and may audit all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717.11(2)</w:t>
      </w:r>
      <w:r>
        <w:rPr>
          <w:rFonts w:ascii="Times New Roman" w:hAnsi="Times New Roman"/>
          <w:b w:val="false"/>
          <w:i w:val="false"/>
          <w:color w:val="000000"/>
          <w:sz w:val="22"/>
        </w:rPr>
        <w:t> </w:t>
      </w:r>
      <w:r>
        <w:rPr>
          <w:rFonts w:ascii="Times New Roman" w:hAnsi="Times New Roman"/>
          <w:b w:val="false"/>
          <w:i/>
          <w:color w:val="000000"/>
          <w:sz w:val="22"/>
        </w:rPr>
        <w:t xml:space="preserve">Payments. </w:t>
      </w:r>
      <w:r>
        <w:rPr>
          <w:rFonts w:ascii="Times New Roman" w:hAnsi="Times New Roman"/>
          <w:b w:val="false"/>
          <w:i w:val="false"/>
          <w:color w:val="000000"/>
          <w:sz w:val="22"/>
        </w:rPr>
        <w:t>Payments to the airport sponsor for eligible project costs shall be made on a cost reimbursement basis. Engineering fees are an eligible project expense and shall be reimbursed in compliance with the agreement.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