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project activities.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Activities that are eligible for reimbursement include, but are not limited to,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Terminal building construction or renovation including associated design, land acquisition, grading and foundation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Hangar construction or renovation including associated design, land acquisition, grading and foundation work.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716.5(3)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Maintenance facility building construction or renovation including, but not limited to, associated design, land acquisition, grading and foundation work.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