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761—716.1</w:t>
      </w:r>
      <w:r>
        <w:rPr>
          <w:rFonts w:ascii="Times New Roman" w:hAnsi="Times New Roman"/>
          <w:b/>
          <w:i w:val="false"/>
          <w:color w:val="000000"/>
          <w:sz w:val="22"/>
        </w:rPr>
        <w:t xml:space="preserve">(328)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commercial air service vertical infrastructure program is to provide funding for improvements to the vertical infrastructure at Iowa’s commercial air service airports. The source of funds is an appropriation from the Iowa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