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761—715.8</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a project application has been approved, the department shall enter into a project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715.8(2)</w:t>
      </w:r>
      <w:r>
        <w:rPr>
          <w:rFonts w:ascii="Times New Roman" w:hAnsi="Times New Roman"/>
          <w:b w:val="false"/>
          <w:i w:val="false"/>
          <w:color w:val="000000"/>
          <w:sz w:val="22"/>
        </w:rPr>
        <w:t> </w:t>
      </w:r>
      <w:r>
        <w:rPr>
          <w:rFonts w:ascii="Times New Roman" w:hAnsi="Times New Roman"/>
          <w:b w:val="false"/>
          <w:i/>
          <w:color w:val="000000"/>
          <w:sz w:val="22"/>
        </w:rPr>
        <w:t xml:space="preserve">Project payments. </w:t>
      </w:r>
      <w:r>
        <w:rPr>
          <w:rFonts w:ascii="Times New Roman" w:hAnsi="Times New Roman"/>
          <w:b w:val="false"/>
          <w:i w:val="false"/>
          <w:color w:val="000000"/>
          <w:sz w:val="22"/>
        </w:rPr>
        <w:t>Payments to the airport sponsor for eligible project costs shall be made on a cost reimbursement basis.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