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761—715.6</w:t>
      </w:r>
      <w:r>
        <w:rPr>
          <w:rFonts w:ascii="Times New Roman" w:hAnsi="Times New Roman"/>
          <w:b/>
          <w:i w:val="false"/>
          <w:color w:val="000000"/>
          <w:sz w:val="22"/>
        </w:rPr>
        <w:t xml:space="preserve">(328) </w:t>
      </w:r>
      <w:r>
        <w:rPr>
          <w:rFonts w:ascii="Times New Roman" w:hAnsi="Times New Roman"/>
          <w:b/>
          <w:i w:val="false"/>
          <w:color w:val="000000"/>
          <w:sz w:val="22"/>
        </w:rPr>
        <w:t xml:space="preserve">Project selection criteria. </w:t>
      </w:r>
      <w:r>
        <w:rPr>
          <w:rFonts w:ascii="Times New Roman" w:hAnsi="Times New Roman"/>
          <w:b w:val="false"/>
          <w:i w:val="false"/>
          <w:color w:val="000000"/>
          <w:sz w:val="22"/>
        </w:rPr>
        <w:t>Sustainment projects at each commercial service airport that meet the eligibility criteria may be funded up to the limit of each airport’s allocation. Enhancement project requests that meet program requirements may be funded if funding is available in the enhancement fund pool.</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