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761—641.5</w:t>
      </w:r>
      <w:r>
        <w:rPr>
          <w:rFonts w:ascii="Times New Roman" w:hAnsi="Times New Roman"/>
          <w:b/>
          <w:i w:val="false"/>
          <w:color w:val="000000"/>
          <w:sz w:val="22"/>
        </w:rPr>
        <w:t xml:space="preserve">(321) </w:t>
      </w:r>
      <w:r>
        <w:rPr>
          <w:rFonts w:ascii="Times New Roman" w:hAnsi="Times New Roman"/>
          <w:b/>
          <w:i w:val="false"/>
          <w:color w:val="000000"/>
          <w:sz w:val="22"/>
        </w:rPr>
        <w:t xml:space="preserve">Acquisition of additional or replacement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liability coverage card that provides coverage for a replacement motor vehicle may be used temporarily in a replacement motor vehicle for 30 days if ownership evidence as described in </w:t>
      </w:r>
      <w:hyperlink r:id="rId4">
        <w:r>
          <w:rPr>
            <w:rStyle w:val="Hyperlink"/>
            <w:rFonts w:ascii="Times New Roman" w:hAnsi="Times New Roman"/>
            <w:b w:val="false"/>
            <w:i w:val="false"/>
            <w:color w:val="000000"/>
            <w:sz w:val="22"/>
          </w:rPr>
          <w:t>761—subrule 400.19(3)</w:t>
        </w:r>
      </w:hyperlink>
      <w:r>
        <w:rPr>
          <w:rFonts w:ascii="Times New Roman" w:hAnsi="Times New Roman"/>
          <w:b w:val="false"/>
          <w:i w:val="false"/>
          <w:color w:val="000000"/>
          <w:sz w:val="22"/>
        </w:rPr>
        <w:t xml:space="preserve"> is carried in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financial liability coverage card that provides coverage for an additionally acquired motor vehicle may be used temporarily in an additionally acquired motor vehicle for 30 days if ownership evidence as described in </w:t>
      </w:r>
      <w:hyperlink r:id="rId5">
        <w:r>
          <w:rPr>
            <w:rStyle w:val="Hyperlink"/>
            <w:rFonts w:ascii="Times New Roman" w:hAnsi="Times New Roman"/>
            <w:b w:val="false"/>
            <w:i w:val="false"/>
            <w:color w:val="000000"/>
            <w:sz w:val="22"/>
          </w:rPr>
          <w:t>761—subrule 400.19(3)</w:t>
        </w:r>
      </w:hyperlink>
      <w:r>
        <w:rPr>
          <w:rFonts w:ascii="Times New Roman" w:hAnsi="Times New Roman"/>
          <w:b w:val="false"/>
          <w:i w:val="false"/>
          <w:color w:val="000000"/>
          <w:sz w:val="22"/>
        </w:rPr>
        <w:t xml:space="preserve"> is carried in the motor vehicle.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400.19.pdf" Type="http://schemas.openxmlformats.org/officeDocument/2006/relationships/hyperlink" Id="rId4"/>
    <Relationship TargetMode="External" Target="https://www.legis.iowa.gov/docs/iac/rule/761.400.1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