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761—640.7</w:t>
      </w:r>
      <w:r>
        <w:rPr>
          <w:rFonts w:ascii="Times New Roman" w:hAnsi="Times New Roman"/>
          <w:b/>
          <w:i w:val="false"/>
          <w:color w:val="000000"/>
          <w:sz w:val="22"/>
        </w:rPr>
        <w:t xml:space="preserve">(321A) </w:t>
      </w:r>
      <w:r>
        <w:rPr>
          <w:rFonts w:ascii="Times New Roman" w:hAnsi="Times New Roman"/>
          <w:b/>
          <w:i w:val="false"/>
          <w:color w:val="000000"/>
          <w:sz w:val="22"/>
        </w:rPr>
        <w:t xml:space="preserve">Transfer of suspended registration. </w:t>
      </w:r>
      <w:r>
        <w:rPr>
          <w:rFonts w:ascii="Times New Roman" w:hAnsi="Times New Roman"/>
          <w:b w:val="false"/>
          <w:i w:val="false"/>
          <w:color w:val="000000"/>
          <w:sz w:val="22"/>
        </w:rPr>
        <w:t xml:space="preserve">A person whose motor vehicle registration privileges have been suspended may make a bona fide sale pursuant to Iowa Code sections </w:t>
      </w:r>
      <w:hyperlink r:id="rId4">
        <w:r>
          <w:rPr>
            <w:rStyle w:val="Hyperlink"/>
            <w:rFonts w:ascii="Times New Roman" w:hAnsi="Times New Roman"/>
            <w:b w:val="false"/>
            <w:i w:val="false"/>
            <w:color w:val="000000"/>
            <w:sz w:val="22"/>
          </w:rPr>
          <w:t>321.493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321A.30</w:t>
        </w:r>
      </w:hyperlink>
      <w:r>
        <w:rPr>
          <w:rFonts w:ascii="Times New Roman" w:hAnsi="Times New Roman"/>
          <w:b w:val="false"/>
          <w:i w:val="false"/>
          <w:color w:val="000000"/>
          <w:sz w:val="22"/>
        </w:rPr>
        <w:t>. The department shall release the suspended registration to permit the registration of the motor vehicle by the purchaser when presented with either the seller’s sworn statement on Form 411107, “Notice of Sale of Vehicle and Delivery of Title,” or confirmation from the county treasurer that the sale has been made and release of the registration is necessary to complete the transfer of title.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321.493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321A.30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493.pdf" Type="http://schemas.openxmlformats.org/officeDocument/2006/relationships/hyperlink" Id="rId4"/>
    <Relationship TargetMode="External" Target="https://www.legis.iowa.gov/docs/ico/chapter/321A.30.pdf" Type="http://schemas.openxmlformats.org/officeDocument/2006/relationships/hyperlink" Id="rId5"/>
    <Relationship TargetMode="External" Target="https://www.legis.iowa.gov/docs/ico/chapter/321.493.pdf" Type="http://schemas.openxmlformats.org/officeDocument/2006/relationships/hyperlink" Id="rId6"/>
    <Relationship TargetMode="External" Target="https://www.legis.iowa.gov/docs/ico/chapter/321A.3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