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761—640.5</w:t>
      </w:r>
      <w:r>
        <w:rPr>
          <w:rFonts w:ascii="Times New Roman" w:hAnsi="Times New Roman"/>
          <w:b/>
          <w:i w:val="false"/>
          <w:color w:val="000000"/>
          <w:sz w:val="22"/>
        </w:rPr>
        <w:t xml:space="preserve">(321A) </w:t>
      </w:r>
      <w:r>
        <w:rPr>
          <w:rFonts w:ascii="Times New Roman" w:hAnsi="Times New Roman"/>
          <w:b/>
          <w:i w:val="false"/>
          <w:color w:val="000000"/>
          <w:sz w:val="22"/>
        </w:rPr>
        <w:t xml:space="preserve">Judgments. </w:t>
      </w:r>
      <w:r>
        <w:rPr>
          <w:rFonts w:ascii="Times New Roman" w:hAnsi="Times New Roman"/>
          <w:b w:val="false"/>
          <w:i w:val="false"/>
          <w:color w:val="000000"/>
          <w:sz w:val="22"/>
        </w:rPr>
        <w:t xml:space="preserve">A suspension of license and registrations is required under Iowa Code section </w:t>
      </w:r>
      <w:hyperlink r:id="rId4">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when the department receives from the clerk of court a certification of judgment which has remained unsatisfied for at least 60 days pursuant to Iowa Code section </w:t>
      </w:r>
      <w:hyperlink r:id="rId5">
        <w:r>
          <w:rPr>
            <w:rStyle w:val="Hyperlink"/>
            <w:rFonts w:ascii="Times New Roman" w:hAnsi="Times New Roman"/>
            <w:b w:val="false"/>
            <w:i w:val="false"/>
            <w:color w:val="000000"/>
            <w:sz w:val="22"/>
          </w:rPr>
          <w:t>321A.12</w:t>
        </w:r>
      </w:hyperlink>
      <w:r>
        <w:rPr>
          <w:rFonts w:ascii="Times New Roman" w:hAnsi="Times New Roman"/>
          <w:b w:val="false"/>
          <w:i w:val="false"/>
          <w:color w:val="000000"/>
          <w:sz w:val="22"/>
        </w:rPr>
        <w:t>. Form 431126, “Certification of Judgment,” may be used by the clerk of court to report a certified judgment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suspension becomes effective on the date the suspension notice is served pursuant to rule </w:t>
      </w:r>
      <w:hyperlink r:id="rId6">
        <w:r>
          <w:rPr>
            <w:rStyle w:val="Hyperlink"/>
            <w:rFonts w:ascii="Times New Roman" w:hAnsi="Times New Roman"/>
            <w:b w:val="false"/>
            <w:i w:val="false"/>
            <w:color w:val="000000"/>
            <w:sz w:val="22"/>
          </w:rPr>
          <w:t>761—615.37(321)</w:t>
        </w:r>
      </w:hyperlink>
      <w:r>
        <w:rPr>
          <w:rFonts w:ascii="Times New Roman" w:hAnsi="Times New Roman"/>
          <w:b w:val="false"/>
          <w:i w:val="false"/>
          <w:color w:val="000000"/>
          <w:sz w:val="22"/>
        </w:rPr>
        <w:t xml:space="preserve">. The notice shall inform the person that the privilege to operate and register motor vehicles in Iowa is suspended until the judgment is satisfied and proof of financial responsibility is shown. The duration of the suspension is provided in Iowa Code section </w:t>
      </w:r>
      <w:hyperlink r:id="rId7">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When the suspension ends,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640.5(2)</w:t>
      </w:r>
      <w:r>
        <w:rPr>
          <w:rFonts w:ascii="Times New Roman" w:hAnsi="Times New Roman"/>
          <w:b w:val="false"/>
          <w:i w:val="false"/>
          <w:color w:val="000000"/>
          <w:sz w:val="22"/>
        </w:rPr>
        <w:t> </w:t>
      </w:r>
      <w:r>
        <w:rPr>
          <w:rFonts w:ascii="Times New Roman" w:hAnsi="Times New Roman"/>
          <w:b w:val="false"/>
          <w:i/>
          <w:color w:val="000000"/>
          <w:sz w:val="22"/>
        </w:rPr>
        <w:t xml:space="preserve">Suspension—exceptions. </w:t>
      </w:r>
      <w:r>
        <w:rPr>
          <w:rFonts w:ascii="Times New Roman" w:hAnsi="Times New Roman"/>
          <w:b w:val="false"/>
          <w:i w:val="false"/>
          <w:color w:val="000000"/>
          <w:sz w:val="22"/>
        </w:rPr>
        <w:t xml:space="preserve">A person who qualifies for an exception under Iowa Code section </w:t>
      </w:r>
      <w:hyperlink r:id="rId8">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must submit proof to the department at the address in </w:t>
      </w:r>
      <w:hyperlink r:id="rId11">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xml:space="preserve"> that the person qualifies for the applicable exception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Creditor’s consent. </w:t>
      </w:r>
      <w:r>
        <w:rPr>
          <w:rFonts w:ascii="Times New Roman" w:hAnsi="Times New Roman"/>
          <w:b w:val="false"/>
          <w:i w:val="false"/>
          <w:color w:val="000000"/>
          <w:sz w:val="22"/>
        </w:rPr>
        <w:t xml:space="preserve">To qualify for this exception, the judgment debtor must obtain written consent from the judgment creditor for issuance of the debtor’s license and registrations while paying the judgment. If this consent is withdrawn, a new suspension is required in accordance with subrule </w:t>
      </w:r>
      <w:hyperlink r:id="rId12">
        <w:r>
          <w:rPr>
            <w:rStyle w:val="Hyperlink"/>
            <w:rFonts w:ascii="Times New Roman" w:hAnsi="Times New Roman"/>
            <w:b w:val="false"/>
            <w:i w:val="false"/>
            <w:color w:val="000000"/>
            <w:sz w:val="22"/>
          </w:rPr>
          <w:t>640.5(1)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judgment. </w:t>
      </w:r>
      <w:r>
        <w:rPr>
          <w:rFonts w:ascii="Times New Roman" w:hAnsi="Times New Roman"/>
          <w:b w:val="false"/>
          <w:i w:val="false"/>
          <w:color w:val="000000"/>
          <w:sz w:val="22"/>
        </w:rPr>
        <w:t>To qualify for this exception, the judgment debtor must submit a certificate of satisfaction or receipt for payment of the judgment from the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To qualify for this exception, the judgment debtor must submit a copy of the decree for bankruptcy which includes the judgment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Court order for installment payments. </w:t>
      </w:r>
      <w:r>
        <w:rPr>
          <w:rFonts w:ascii="Times New Roman" w:hAnsi="Times New Roman"/>
          <w:b w:val="false"/>
          <w:i w:val="false"/>
          <w:color w:val="000000"/>
          <w:sz w:val="22"/>
        </w:rPr>
        <w:t xml:space="preserve">To qualify for this exception, the judgment debtor must submit a court order authorizing payment of the judgment in installments. A new suspension, as provided in subrule </w:t>
      </w:r>
      <w:hyperlink r:id="rId13">
        <w:r>
          <w:rPr>
            <w:rStyle w:val="Hyperlink"/>
            <w:rFonts w:ascii="Times New Roman" w:hAnsi="Times New Roman"/>
            <w:b w:val="false"/>
            <w:i w:val="false"/>
            <w:color w:val="000000"/>
            <w:sz w:val="22"/>
          </w:rPr>
          <w:t>640.5(1)</w:t>
        </w:r>
      </w:hyperlink>
      <w:r>
        <w:rPr>
          <w:rFonts w:ascii="Times New Roman" w:hAnsi="Times New Roman"/>
          <w:b w:val="false"/>
          <w:i w:val="false"/>
          <w:color w:val="000000"/>
          <w:sz w:val="22"/>
        </w:rPr>
        <w:t>, is required when the department receives notice of a default in the payments. The default suspension shall continue until the judgment is satisfied or a new court order authorizing payment of the judgment in installations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Insurance coverage exception. </w:t>
      </w:r>
      <w:r>
        <w:rPr>
          <w:rFonts w:ascii="Times New Roman" w:hAnsi="Times New Roman"/>
          <w:b w:val="false"/>
          <w:i w:val="false"/>
          <w:color w:val="000000"/>
          <w:sz w:val="22"/>
        </w:rPr>
        <w:t>To qualify for this exception, the judgment debtor who held effective liability insurance coverage at the time of the accident from which the judgment was rendered shall submit a copy of the insurance policy and a letter from the insurance carrier confirming that the insurance carrier was authorized to issue liability insurance, that the insurance carrier did provide coverage for the debtor in amounts required by the financial responsibility law, and the reason why the insurance carrier has not paid such judgment.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321A.12 to 321A.29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A.13.pdf" Type="http://schemas.openxmlformats.org/officeDocument/2006/relationships/hyperlink" Id="rId4"/>
    <Relationship TargetMode="External" Target="https://www.legis.iowa.gov/docs/ico/chapter/321A.12.pdf" Type="http://schemas.openxmlformats.org/officeDocument/2006/relationships/hyperlink" Id="rId5"/>
    <Relationship TargetMode="External" Target="https://www.legis.iowa.gov/docs/iac/rule/761.615.37.pdf" Type="http://schemas.openxmlformats.org/officeDocument/2006/relationships/hyperlink" Id="rId6"/>
    <Relationship TargetMode="External" Target="https://www.legis.iowa.gov/docs/ico/chapter/321A.14.pdf" Type="http://schemas.openxmlformats.org/officeDocument/2006/relationships/hyperlink" Id="rId7"/>
    <Relationship TargetMode="External" Target="https://www.legis.iowa.gov/docs/ico/chapter/321A.13.pdf" Type="http://schemas.openxmlformats.org/officeDocument/2006/relationships/hyperlink" Id="rId8"/>
    <Relationship TargetMode="External" Target="https://www.legis.iowa.gov/docs/ico/chapter/321A.14.pdf" Type="http://schemas.openxmlformats.org/officeDocument/2006/relationships/hyperlink" Id="rId9"/>
    <Relationship TargetMode="External" Target="https://www.legis.iowa.gov/docs/ico/chapter/321A.16.pdf" Type="http://schemas.openxmlformats.org/officeDocument/2006/relationships/hyperlink" Id="rId10"/>
    <Relationship TargetMode="External" Target="https://www.legis.iowa.gov/docs/iac/rule/761.640.1.pdf" Type="http://schemas.openxmlformats.org/officeDocument/2006/relationships/hyperlink" Id="rId11"/>
    <Relationship TargetMode="External" Target="https://www.legis.iowa.gov/docs/iac/rule/761.640.5.pdf" Type="http://schemas.openxmlformats.org/officeDocument/2006/relationships/hyperlink" Id="rId12"/>
    <Relationship TargetMode="External" Target="https://www.legis.iowa.gov/docs/iac/rule/761.640.5.pdf" Type="http://schemas.openxmlformats.org/officeDocument/2006/relationships/hyperlink" Id="rId13"/>
    <Relationship TargetMode="External" Target="https://www.legis.iowa.gov/docs/ico/chapter/321A.12-29.pdf" Type="http://schemas.openxmlformats.org/officeDocument/2006/relationships/hyperlink" Id="rId14"/>
    <Relationship TargetMode="External" Target="https://www.legis.iowa.gov/docs/ico/chapter/321A.3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