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761—640.1</w:t>
      </w:r>
      <w:r>
        <w:rPr>
          <w:rFonts w:ascii="Times New Roman" w:hAnsi="Times New Roman"/>
          <w:b/>
          <w:i w:val="false"/>
          <w:color w:val="000000"/>
          <w:sz w:val="22"/>
        </w:rPr>
        <w:t xml:space="preserve">(321A)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contained in Iowa Code section </w:t>
      </w:r>
      <w:hyperlink r:id="rId4">
        <w:r>
          <w:rPr>
            <w:rStyle w:val="Hyperlink"/>
            <w:rFonts w:ascii="Times New Roman" w:hAnsi="Times New Roman"/>
            <w:b w:val="false"/>
            <w:i w:val="false"/>
            <w:color w:val="000000"/>
            <w:sz w:val="22"/>
          </w:rPr>
          <w:t>321A.1</w:t>
        </w:r>
      </w:hyperlink>
      <w:r>
        <w:rPr>
          <w:rFonts w:ascii="Times New Roman" w:hAnsi="Times New Roman"/>
          <w:b w:val="false"/>
          <w:i w:val="false"/>
          <w:color w:val="000000"/>
          <w:sz w:val="22"/>
        </w:rPr>
        <w:t xml:space="preserve"> are hereby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means an amount of money sufficient in the determination of the department to satisfy any judgment or judgments for damages resulting from the accident as may be recovered against the operator or owner. Security is subject to the limitations and requirements of Iowa Code sections </w:t>
      </w:r>
      <w:hyperlink r:id="rId5">
        <w:r>
          <w:rPr>
            <w:rStyle w:val="Hyperlink"/>
            <w:rFonts w:ascii="Times New Roman" w:hAnsi="Times New Roman"/>
            <w:b w:val="false"/>
            <w:i w:val="false"/>
            <w:color w:val="000000"/>
            <w:sz w:val="22"/>
          </w:rPr>
          <w:t>321A.5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Except for accident reporting requirements, this chapter of rules does not apply to the owners or operators of motor vehicles excepted by Iowa Code section </w:t>
      </w:r>
      <w:hyperlink r:id="rId7">
        <w:r>
          <w:rPr>
            <w:rStyle w:val="Hyperlink"/>
            <w:rFonts w:ascii="Times New Roman" w:hAnsi="Times New Roman"/>
            <w:b w:val="false"/>
            <w:i w:val="false"/>
            <w:color w:val="000000"/>
            <w:sz w:val="22"/>
          </w:rPr>
          <w:t>321A.33</w:t>
        </w:r>
      </w:hyperlink>
      <w:r>
        <w:rPr>
          <w:rFonts w:ascii="Times New Roman" w:hAnsi="Times New Roman"/>
          <w:b w:val="false"/>
          <w:i w:val="false"/>
          <w:color w:val="000000"/>
          <w:sz w:val="22"/>
        </w:rPr>
        <w:t>. To establish availability of an exception, the person required to show proof shall submit to the department a letter from the owner of the motor vehicle authorizing the person to use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640.1(3)</w:t>
      </w:r>
      <w:r>
        <w:rPr>
          <w:rFonts w:ascii="Times New Roman" w:hAnsi="Times New Roman"/>
          <w:b w:val="false"/>
          <w:i w:val="false"/>
          <w:color w:val="000000"/>
          <w:sz w:val="22"/>
        </w:rPr>
        <w:t> </w:t>
      </w:r>
      <w:r>
        <w:rPr>
          <w:rFonts w:ascii="Times New Roman" w:hAnsi="Times New Roman"/>
          <w:b w:val="false"/>
          <w:i/>
          <w:color w:val="000000"/>
          <w:sz w:val="22"/>
        </w:rPr>
        <w:t xml:space="preserve">Submissions and information. </w:t>
      </w:r>
      <w:r>
        <w:rPr>
          <w:rFonts w:ascii="Times New Roman" w:hAnsi="Times New Roman"/>
          <w:b w:val="false"/>
          <w:i w:val="false"/>
          <w:color w:val="000000"/>
          <w:sz w:val="22"/>
        </w:rPr>
        <w:t xml:space="preserve">Except as otherwise provided in this chapter, required submissions shall be either mailed to the Motor Vehicle Division, Iowa Department of Transportation, P.O. Box 9204, Des Moines, Iowa 50306-9204; delivered in person to 6310 SE Convenience Blvd., Ankeny, Iowa; or sent by facsimile to (515)239-1837. Information about the motor vehicle financial responsibility law in Iowa Code chapter </w:t>
      </w:r>
      <w:hyperlink r:id="rId8">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is available from these sources or by telephone at (515)244-8725.</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321A.1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321A.33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4803C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7008C</w:t>
      </w:r>
      <w:r>
        <w:rPr>
          <w:rFonts w:ascii="Times New Roman" w:hAnsi="Times New Roman"/>
          <w:b w:val="false"/>
          <w:i w:val="false"/>
          <w:color w:val="000000"/>
          <w:sz w:val="16"/>
        </w:rPr>
        <w:t>, IAB 5/3/23, effective 6/7/23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A.1.pdf" Type="http://schemas.openxmlformats.org/officeDocument/2006/relationships/hyperlink" Id="rId4"/>
    <Relationship TargetMode="External" Target="https://www.legis.iowa.gov/docs/ico/chapter/321A.5.pdf" Type="http://schemas.openxmlformats.org/officeDocument/2006/relationships/hyperlink" Id="rId5"/>
    <Relationship TargetMode="External" Target="https://www.legis.iowa.gov/docs/ico/chapter/321A.9.pdf" Type="http://schemas.openxmlformats.org/officeDocument/2006/relationships/hyperlink" Id="rId6"/>
    <Relationship TargetMode="External" Target="https://www.legis.iowa.gov/docs/ico/chapter/321A.33.pdf" Type="http://schemas.openxmlformats.org/officeDocument/2006/relationships/hyperlink" Id="rId7"/>
    <Relationship TargetMode="External" Target="https://www.legis.iowa.gov/docs/ico/chapter/321A.pdf"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321A.1.pdf" Type="http://schemas.openxmlformats.org/officeDocument/2006/relationships/hyperlink" Id="rId10"/>
    <Relationship TargetMode="External" Target="https://www.legis.iowa.gov/docs/ico/chapter/321A.3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