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761—450.5</w:t>
      </w:r>
      <w:r>
        <w:rPr>
          <w:rFonts w:ascii="Times New Roman" w:hAnsi="Times New Roman"/>
          <w:b/>
          <w:i w:val="false"/>
          <w:color w:val="000000"/>
          <w:sz w:val="22"/>
        </w:rPr>
        <w:t xml:space="preserve">(321) </w:t>
      </w:r>
      <w:r>
        <w:rPr>
          <w:rFonts w:ascii="Times New Roman" w:hAnsi="Times New Roman"/>
          <w:b/>
          <w:i w:val="false"/>
          <w:color w:val="000000"/>
          <w:sz w:val="22"/>
        </w:rPr>
        <w:t xml:space="preserve">Minimum requirements for constructing and equipping specially constructed or reconstructed autocycles. </w:t>
      </w:r>
      <w:r>
        <w:rPr>
          <w:rFonts w:ascii="Times New Roman" w:hAnsi="Times New Roman"/>
          <w:b w:val="false"/>
          <w:i w:val="false"/>
          <w:color w:val="000000"/>
          <w:sz w:val="22"/>
        </w:rPr>
        <w:t xml:space="preserve">Minimum requirements for constructing and equipping specially constructed or reconstructed autocycles as defined in Iowa Code section </w:t>
      </w:r>
      <w:hyperlink r:id="rId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As outlined in rule 761—400.16(321), the applicant shall submit the required application forms and exhibits to the county treasurer. The vehicle and ownership documents shall be examined by the department. If the department determines that the autocycle complies with rule 761—450.5(321), that the integral parts and components have been identified as to ownership, and that the application forms have been completed properly, the department shall assign an identification number to the autocycle and certify that the autocycle is eligible for titling and registration. If the frame or unibody specified on an application for a specially constructed, reconstructed, street rod, or replica autocycle is designated “not for highway use,” the application shall not be approved. The exchange of compatible body parts does not constitute a specially constructed, reconstructed, street rod, or replica autocycle. The removal, addition, or substitution of reconstructed autocycle parts that modifies the autocycle’s external appearance so that it does not reflect the original make or manufacturer model for that model does constitute a specially constructed, reconstructed, street rod, or replica autocycle.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450.5(2)</w:t>
      </w:r>
      <w:r>
        <w:rPr>
          <w:rFonts w:ascii="Times New Roman" w:hAnsi="Times New Roman"/>
          <w:b w:val="false"/>
          <w:i w:val="false"/>
          <w:color w:val="000000"/>
          <w:sz w:val="22"/>
        </w:rPr>
        <w:t> </w:t>
      </w:r>
      <w:r>
        <w:rPr>
          <w:rFonts w:ascii="Times New Roman" w:hAnsi="Times New Roman"/>
          <w:b w:val="false"/>
          <w:i/>
          <w:color w:val="000000"/>
          <w:sz w:val="22"/>
        </w:rPr>
        <w:t xml:space="preserve">Seat belt. </w:t>
      </w:r>
      <w:r>
        <w:rPr>
          <w:rFonts w:ascii="Times New Roman" w:hAnsi="Times New Roman"/>
          <w:b w:val="false"/>
          <w:i w:val="false"/>
          <w:color w:val="000000"/>
          <w:sz w:val="22"/>
        </w:rPr>
        <w:t xml:space="preserve">A seat belt for each seat shall be installed in the autocycle in accordance with Federal Motor Vehicle Safety Standard No. 209.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450.5(3)</w:t>
      </w:r>
      <w:r>
        <w:rPr>
          <w:rFonts w:ascii="Times New Roman" w:hAnsi="Times New Roman"/>
          <w:b w:val="false"/>
          <w:i w:val="false"/>
          <w:color w:val="000000"/>
          <w:sz w:val="22"/>
        </w:rPr>
        <w:t> </w:t>
      </w:r>
      <w:r>
        <w:rPr>
          <w:rFonts w:ascii="Times New Roman" w:hAnsi="Times New Roman"/>
          <w:b w:val="false"/>
          <w:i/>
          <w:color w:val="000000"/>
          <w:sz w:val="22"/>
        </w:rPr>
        <w:t xml:space="preserve">Seat. </w:t>
      </w:r>
      <w:r>
        <w:rPr>
          <w:rFonts w:ascii="Times New Roman" w:hAnsi="Times New Roman"/>
          <w:b w:val="false"/>
          <w:i w:val="false"/>
          <w:color w:val="000000"/>
          <w:sz w:val="22"/>
        </w:rPr>
        <w:t xml:space="preserve">A seat that is firmly attached to the autocycle and does not require the operator to straddle or sit astride shall be provided for the use of the operator.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450.5(4)</w:t>
      </w:r>
      <w:r>
        <w:rPr>
          <w:rFonts w:ascii="Times New Roman" w:hAnsi="Times New Roman"/>
          <w:b w:val="false"/>
          <w:i w:val="false"/>
          <w:color w:val="000000"/>
          <w:sz w:val="22"/>
        </w:rPr>
        <w:t> </w:t>
      </w:r>
      <w:r>
        <w:rPr>
          <w:rFonts w:ascii="Times New Roman" w:hAnsi="Times New Roman"/>
          <w:b w:val="false"/>
          <w:i/>
          <w:color w:val="000000"/>
          <w:sz w:val="22"/>
        </w:rPr>
        <w:t xml:space="preserve">Lighting equipment. </w:t>
      </w:r>
      <w:r>
        <w:rPr>
          <w:rFonts w:ascii="Times New Roman" w:hAnsi="Times New Roman"/>
          <w:b w:val="false"/>
          <w:i w:val="false"/>
          <w:color w:val="000000"/>
          <w:sz w:val="22"/>
        </w:rPr>
        <w:t xml:space="preserve">Every autocycle shall be equipped with at least one headlamp, at least one taillight, and either a taillight or a separate white light that illuminates the license plate if a taillight does not. All original lamps and lighting equipment provided on the autocycle by the manufacturer shall be maintained in working condition or shall be replaced with equivalent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450.5(5)</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r>
        <w:rPr>
          <w:rFonts w:ascii="Times New Roman" w:hAnsi="Times New Roman"/>
          <w:b w:val="false"/>
          <w:i w:val="false"/>
          <w:color w:val="000000"/>
          <w:sz w:val="22"/>
        </w:rPr>
        <w:t xml:space="preserve">Every autocycle shall be equipped with at least one red reflector, either separate or as part of the taillight or taillights.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450.5(6)</w:t>
      </w:r>
      <w:r>
        <w:rPr>
          <w:rFonts w:ascii="Times New Roman" w:hAnsi="Times New Roman"/>
          <w:b w:val="false"/>
          <w:i w:val="false"/>
          <w:color w:val="000000"/>
          <w:sz w:val="22"/>
        </w:rPr>
        <w:t> </w:t>
      </w:r>
      <w:r>
        <w:rPr>
          <w:rFonts w:ascii="Times New Roman" w:hAnsi="Times New Roman"/>
          <w:b w:val="false"/>
          <w:i/>
          <w:color w:val="000000"/>
          <w:sz w:val="22"/>
        </w:rPr>
        <w:t xml:space="preserve">Brakes. </w:t>
      </w:r>
      <w:r>
        <w:rPr>
          <w:rFonts w:ascii="Times New Roman" w:hAnsi="Times New Roman"/>
          <w:b w:val="false"/>
          <w:i w:val="false"/>
          <w:color w:val="000000"/>
          <w:sz w:val="22"/>
        </w:rPr>
        <w:t xml:space="preserve">Every autocycle shall be equipped with a braking system, other than a parking brake, in accordance with Iowa Code section </w:t>
      </w:r>
      <w:hyperlink r:id="rId5">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450.5(7)</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 xml:space="preserve">Every autocycle shall be equipped with a horn that shall be electrically actuated and shall emit a sound clearly audible from a distance of 200 feet.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450.5(8)</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Each autocycle with an internal combustion engine shall be equipped with a muffler and emission control system in accordance with federal regulation 49 CFR 393.83. When a muffler and emission control system is factory equipped, neither may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450.5(9)</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Every autocycle shall be equipped with a mirror that shall consist of a minimum reflective surface of 10 square inches. All mirrors shall be regular in shape (circular, oval, rectangular, or square) and shall not contain sharp edges or projections capable of producing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450.5(10)</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Every autocycle shall be equipped with tires that comply with the requirements of Iowa Code section </w:t>
      </w:r>
      <w:hyperlink r:id="rId6">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450.5(11)</w:t>
      </w:r>
      <w:r>
        <w:rPr>
          <w:rFonts w:ascii="Times New Roman" w:hAnsi="Times New Roman"/>
          <w:b w:val="false"/>
          <w:i w:val="false"/>
          <w:color w:val="000000"/>
          <w:sz w:val="22"/>
        </w:rPr>
        <w:t> </w:t>
      </w:r>
      <w:r>
        <w:rPr>
          <w:rFonts w:ascii="Times New Roman" w:hAnsi="Times New Roman"/>
          <w:b w:val="false"/>
          <w:i/>
          <w:color w:val="000000"/>
          <w:sz w:val="22"/>
        </w:rPr>
        <w:t xml:space="preserve">Floor pan. </w:t>
      </w:r>
      <w:r>
        <w:rPr>
          <w:rFonts w:ascii="Times New Roman" w:hAnsi="Times New Roman"/>
          <w:b w:val="false"/>
          <w:i w:val="false"/>
          <w:color w:val="000000"/>
          <w:sz w:val="22"/>
        </w:rPr>
        <w:t>Every autocycle shall be equipped with a floor pan under the entire passenger-carrying compartment. The floor pan shall support the weight of the number of occupants that the autocycle is designed to carry. The floor pan shall be so constructed that it prevents the entry of exhaust fumes.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1.pdf" Type="http://schemas.openxmlformats.org/officeDocument/2006/relationships/hyperlink" Id="rId4"/>
    <Relationship TargetMode="External" Target="https://www.legis.iowa.gov/docs/ico/chapter/321.431.pdf" Type="http://schemas.openxmlformats.org/officeDocument/2006/relationships/hyperlink" Id="rId5"/>
    <Relationship TargetMode="External" Target="https://www.legis.iowa.gov/docs/ico/chapter/321.440.pdf" Type="http://schemas.openxmlformats.org/officeDocument/2006/relationships/hyperlink" Id="rId6"/>
    <Relationship TargetMode="External" Target="https://www.legis.iowa.gov/docs/ico/chapter/321.2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