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761—405.3</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Face of title. </w:t>
      </w:r>
      <w:r>
        <w:rPr>
          <w:rFonts w:ascii="Times New Roman" w:hAnsi="Times New Roman"/>
          <w:b w:val="false"/>
          <w:i w:val="false"/>
          <w:color w:val="000000"/>
          <w:sz w:val="22"/>
        </w:rPr>
        <w:t>Except for vehicles with a gross vehicle weight rating of 30,000 pounds or more, the following shall be printed on the face of an Iowa salvage title: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An Iowa or a foreign salvage title may be assigned only as provided in Iowa Code subsection </w:t>
      </w:r>
      <w:hyperlink r:id="rId4">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Except as provided in subrule </w:t>
      </w:r>
      <w:hyperlink r:id="rId5">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 the transferee to whom an Iowa or a foreign salvage title is assigned shall apply for a new Iowa salvage title within 30 days after the date of assignment unless, within this time period, application for a regular title is made or a junking certificate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405.3(3)</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Reassignment of an Iowa or a foreign salvage title by a licensed new motor vehicle dealer or by an authorized vehicle recycler is allowed, and the dealer or recycler is not required to obtain a new Iowa salvage title upon assignment of an Iowa or a foreign salvage title to the dealer or recycler, provided a vacant reassignment space is available on the title. If all reassignment spaces on an Iowa or a foreign salvage title assigned to the dealer or recycler have been used, the dealer or recycler shall obtain a new Iowa salvage title in accordance with subrule </w:t>
      </w:r>
      <w:hyperlink r:id="rId6">
        <w:r>
          <w:rPr>
            <w:rStyle w:val="Hyperlink"/>
            <w:rFonts w:ascii="Times New Roman" w:hAnsi="Times New Roman"/>
            <w:b w:val="false"/>
            <w:i w:val="false"/>
            <w:color w:val="000000"/>
            <w:sz w:val="22"/>
          </w:rPr>
          <w:t>405.3(2)</w:t>
        </w:r>
      </w:hyperlink>
      <w:r>
        <w:rPr>
          <w:rFonts w:ascii="Times New Roman" w:hAnsi="Times New Roman"/>
          <w:b w:val="false"/>
          <w:i w:val="false"/>
          <w:color w:val="000000"/>
          <w:sz w:val="22"/>
        </w:rPr>
        <w:t>. The following shall be printed on the dealer reassignment portion of Iowa salvage titles: ONLY NEW MOTOR VEHICLE DEALERS OR RECYCLERS MAY REASSIGN THIS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405.3(4)</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salvage title may be obtained without payment of the current registration fees or any delinquent registration fees or registration penalties. If the registration fees are delinquent at the time of issuance of an Iowa salvage title, no additional penalty shall accrue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registration fees or registration penalties due at the time of issuance of an Iowa salvage title, together with the current registration fees if not already paid, shall be paid upon issuance of a regular title. However, a dealer is not required to pay current registration fees to obtain a regular title for a vehicle held for resale or trade. See rule </w:t>
      </w:r>
      <w:hyperlink r:id="rId7">
        <w:r>
          <w:rPr>
            <w:rStyle w:val="Hyperlink"/>
            <w:rFonts w:ascii="Times New Roman" w:hAnsi="Times New Roman"/>
            <w:b w:val="false"/>
            <w:i w:val="false"/>
            <w:color w:val="000000"/>
            <w:sz w:val="22"/>
          </w:rPr>
          <w:t>761—400.27</w:t>
        </w:r>
      </w:hyperlink>
      <w:r>
        <w:rPr>
          <w:rFonts w:ascii="Times New Roman" w:hAnsi="Times New Roman"/>
          <w:b w:val="false"/>
          <w:i w:val="false"/>
          <w:color w:val="000000"/>
          <w:sz w:val="22"/>
        </w:rPr>
        <w:t>(321,322) for any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this chapter to the contrary, an Iowa salvage title obtained by an insurer pursuant to the provisions under Iowa Code section </w:t>
      </w:r>
      <w:hyperlink r:id="rId8">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shall be issued free and clear of all liens and claims of ownership, including any outstanding registration fees or registration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405.3(5)</w:t>
      </w:r>
      <w:r>
        <w:rPr>
          <w:rFonts w:ascii="Times New Roman" w:hAnsi="Times New Roman"/>
          <w:b w:val="false"/>
          <w:i w:val="false"/>
          <w:color w:val="000000"/>
          <w:sz w:val="22"/>
        </w:rPr>
        <w:t> </w:t>
      </w:r>
      <w:r>
        <w:rPr>
          <w:rFonts w:ascii="Times New Roman" w:hAnsi="Times New Roman"/>
          <w:b w:val="false"/>
          <w:i/>
          <w:color w:val="000000"/>
          <w:sz w:val="22"/>
        </w:rPr>
        <w:t xml:space="preserve">Plates. </w:t>
      </w:r>
      <w:r>
        <w:rPr>
          <w:rFonts w:ascii="Times New Roman" w:hAnsi="Times New Roman"/>
          <w:b w:val="false"/>
          <w:i w:val="false"/>
          <w:color w:val="000000"/>
          <w:sz w:val="22"/>
        </w:rPr>
        <w:t>Registration plates shall not be assigned when an Iowa salvage title is issued.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52.pdf" Type="http://schemas.openxmlformats.org/officeDocument/2006/relationships/hyperlink" Id="rId4"/>
    <Relationship TargetMode="External" Target="https://www.legis.iowa.gov/docs/iac/rule/761.405.3.pdf" Type="http://schemas.openxmlformats.org/officeDocument/2006/relationships/hyperlink" Id="rId5"/>
    <Relationship TargetMode="External" Target="https://www.legis.iowa.gov/docs/iac/rule/761.405.3.pdf" Type="http://schemas.openxmlformats.org/officeDocument/2006/relationships/hyperlink" Id="rId6"/>
    <Relationship TargetMode="External" Target="https://www.legis.iowa.gov/docs/iac/rule/761.400.27.pdf" Type="http://schemas.openxmlformats.org/officeDocument/2006/relationships/hyperlink" Id="rId7"/>
    <Relationship TargetMode="External" Target="https://www.legis.iowa.gov/docs/ico/chapter/321.5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