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761—405.15</w:t>
      </w:r>
      <w:r>
        <w:rPr>
          <w:rFonts w:ascii="Times New Roman" w:hAnsi="Times New Roman"/>
          <w:b/>
          <w:i w:val="false"/>
          <w:color w:val="000000"/>
          <w:sz w:val="22"/>
        </w:rPr>
        <w:t xml:space="preserve">(321) </w:t>
      </w:r>
      <w:r>
        <w:rPr>
          <w:rFonts w:ascii="Times New Roman" w:hAnsi="Times New Roman"/>
          <w:b/>
          <w:i w:val="false"/>
          <w:color w:val="000000"/>
          <w:sz w:val="22"/>
        </w:rPr>
        <w:t xml:space="preserve">Salvage theft examination. </w:t>
      </w:r>
      <w:r>
        <w:rPr>
          <w:rFonts w:ascii="Times New Roman" w:hAnsi="Times New Roman"/>
          <w:b w:val="false"/>
          <w:i w:val="false"/>
          <w:color w:val="000000"/>
          <w:sz w:val="22"/>
        </w:rPr>
        <w:t>Except for foreign salvage titles assigned to licensed new motor vehicle dealers, authorized vehicle recyclers, or educational institutions, a salvage theft examination may only be conducted on a vehicle with an Iowa salvage title. The vehicle shall not be examined until it has been completely repaired, except for minor body parts such as trim, body marking or paint.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405.15(1)</w:t>
      </w:r>
      <w:r>
        <w:rPr>
          <w:rFonts w:ascii="Times New Roman" w:hAnsi="Times New Roman"/>
          <w:b w:val="false"/>
          <w:i w:val="false"/>
          <w:color w:val="000000"/>
          <w:sz w:val="22"/>
        </w:rPr>
        <w:t> </w:t>
      </w:r>
      <w:r>
        <w:rPr>
          <w:rFonts w:ascii="Times New Roman" w:hAnsi="Times New Roman"/>
          <w:b w:val="false"/>
          <w:i/>
          <w:color w:val="000000"/>
          <w:sz w:val="22"/>
        </w:rPr>
        <w:t xml:space="preserve">General 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salvage theft examination shall be conducted by a peace officer who has been specially certified, and recertified when required, by the Iowa law enforcement academy to perform salvage theft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To arrange for a salvage theft examination by an investigator from the department, the applicant shall contact the Bureau of Investigation and Identity Protection, Iowa Department of Transportation, 6310 SE Convenience Blvd., Ankeny, Iowa 50021; by telephone at (515)237-3050; or on the department’s website at </w:t>
      </w:r>
      <w:hyperlink r:id="rId4">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arrange for a salvage theft examination by any other authorized peace officer, the applicant shall contact the local law enforcement agency for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 of the vehicle may drive the vehicle to and from the examination location by completing the permit to drive located within the electronic affidavit of salvage vehicle repairs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affidavit shall state that the vehicle is reasonably safe for operation and shall list the parts that have been replaced on the vehicle. The affidavit must be signed by the owner or the owner’s authorized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be valid, the permit to drive the vehicle to and from the examination location must be signed by the owner or owner’s authorized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owner of the vehicle or the owner’s representative must be present for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owner’s representative, when appearing with the vehicle for the examination, shall submit to the peace officer for review the salvage title or a certified copy of the salvage title; the affidavit of salvage vehicle repairs; and, pursuant to subrules </w:t>
      </w:r>
      <w:hyperlink r:id="rId5">
        <w:r>
          <w:rPr>
            <w:rStyle w:val="Hyperlink"/>
            <w:rFonts w:ascii="Times New Roman" w:hAnsi="Times New Roman"/>
            <w:b w:val="false"/>
            <w:i w:val="false"/>
            <w:color w:val="000000"/>
            <w:sz w:val="22"/>
          </w:rPr>
          <w:t>405.15(3)</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405.15(4)</w:t>
        </w:r>
      </w:hyperlink>
      <w:r>
        <w:rPr>
          <w:rFonts w:ascii="Times New Roman" w:hAnsi="Times New Roman"/>
          <w:b w:val="false"/>
          <w:i w:val="false"/>
          <w:color w:val="000000"/>
          <w:sz w:val="22"/>
        </w:rPr>
        <w:t>, bills of sale for all component parts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owner’s representative shall electronically make payment for the salvage theft examination at the time the examination is scheduled, and the fee collected shall be distributed in accordance with Iowa Code section </w:t>
      </w:r>
      <w:hyperlink r:id="rId7">
        <w:r>
          <w:rPr>
            <w:rStyle w:val="Hyperlink"/>
            <w:rFonts w:ascii="Times New Roman" w:hAnsi="Times New Roman"/>
            <w:b w:val="false"/>
            <w:i w:val="false"/>
            <w:color w:val="000000"/>
            <w:sz w:val="22"/>
          </w:rPr>
          <w:t>321.52(4)</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owner shall have three years from the date the affidavit and payment were submitted to complete the salvage theft examination without having to pay a new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vehicle passes the salvage theft examination, the peace officer shall approve the completed salvage theft examination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peace officer shall return the salvage title or the certified copy of the salvage title, the permit to drive section, if applicable, on the affidavit of salvage vehicle repairs, and the bills of sale to the owner or the owner’s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405.15(2)</w:t>
      </w:r>
      <w:r>
        <w:rPr>
          <w:rFonts w:ascii="Times New Roman" w:hAnsi="Times New Roman"/>
          <w:b w:val="false"/>
          <w:i w:val="false"/>
          <w:color w:val="000000"/>
          <w:sz w:val="22"/>
        </w:rPr>
        <w:t> </w:t>
      </w:r>
      <w:r>
        <w:rPr>
          <w:rFonts w:ascii="Times New Roman" w:hAnsi="Times New Roman"/>
          <w:b w:val="false"/>
          <w:i/>
          <w:color w:val="000000"/>
          <w:sz w:val="22"/>
        </w:rPr>
        <w:t xml:space="preserve">Affidavit of salvage vehicle repairs form and salvage theft examination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affidavit of salvage vehicle repairs form shall be accessed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If a peace officer finds it necessary to use a physical salvage theft examination certificate, the salvage theft examination certificate shall be a controlled form and furnished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owner of the vehicle may obtain a duplicate copy of the salvage theft examination certificate upon written request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approved salvage theft examination certificate is not transferable to a different party or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405.15(3)</w:t>
      </w:r>
      <w:r>
        <w:rPr>
          <w:rFonts w:ascii="Times New Roman" w:hAnsi="Times New Roman"/>
          <w:b w:val="false"/>
          <w:i w:val="false"/>
          <w:color w:val="000000"/>
          <w:sz w:val="22"/>
        </w:rPr>
        <w:t> </w:t>
      </w:r>
      <w:r>
        <w:rPr>
          <w:rFonts w:ascii="Times New Roman" w:hAnsi="Times New Roman"/>
          <w:b w:val="false"/>
          <w:i/>
          <w:color w:val="000000"/>
          <w:sz w:val="22"/>
        </w:rPr>
        <w:t xml:space="preserve">Bill of sale. </w:t>
      </w:r>
      <w:r>
        <w:rPr>
          <w:rFonts w:ascii="Times New Roman" w:hAnsi="Times New Roman"/>
          <w:b w:val="false"/>
          <w:i w:val="false"/>
          <w:color w:val="000000"/>
          <w:sz w:val="22"/>
        </w:rPr>
        <w:t>A bill of sale is a document from the seller to the buyer containing the name, address and telephone number of the seller, a description and identification number of the component part and, if applicable, the vehicle identification number (VIN) of the vehicle from which it was removed.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405.15(4)</w:t>
      </w:r>
      <w:r>
        <w:rPr>
          <w:rFonts w:ascii="Times New Roman" w:hAnsi="Times New Roman"/>
          <w:b w:val="false"/>
          <w:i w:val="false"/>
          <w:color w:val="000000"/>
          <w:sz w:val="22"/>
        </w:rPr>
        <w:t> </w:t>
      </w:r>
      <w:r>
        <w:rPr>
          <w:rFonts w:ascii="Times New Roman" w:hAnsi="Times New Roman"/>
          <w:b w:val="false"/>
          <w:i/>
          <w:color w:val="000000"/>
          <w:sz w:val="22"/>
        </w:rPr>
        <w:t xml:space="preserve">Component part. </w:t>
      </w:r>
      <w:r>
        <w:rPr>
          <w:rFonts w:ascii="Times New Roman" w:hAnsi="Times New Roman"/>
          <w:b w:val="false"/>
          <w:i w:val="false"/>
          <w:color w:val="000000"/>
          <w:sz w:val="22"/>
        </w:rPr>
        <w:t xml:space="preserve">For salvage theft examinations, the definition of component part as found in Iowa Code section </w:t>
      </w:r>
      <w:hyperlink r:id="rId8">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shall apply.</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0136C</w:t>
      </w:r>
      <w:r>
        <w:rPr>
          <w:rFonts w:ascii="Times New Roman" w:hAnsi="Times New Roman"/>
          <w:b w:val="false"/>
          <w:i w:val="false"/>
          <w:color w:val="000000"/>
          <w:sz w:val="16"/>
        </w:rPr>
        <w:t>, IAB 5/30/12, effective 7/4/12</w:t>
      </w:r>
      <w:r>
        <w:rPr>
          <w:rFonts w:ascii="Times New Roman" w:hAnsi="Times New Roman"/>
          <w:b w:val="false"/>
          <w:i w:val="false"/>
          <w:color w:val="000000"/>
          <w:sz w:val="16"/>
        </w:rPr>
        <w:t xml:space="preserve">; </w:t>
      </w:r>
      <w:r>
        <w:rPr>
          <w:rFonts w:ascii="Times New Roman" w:hAnsi="Times New Roman"/>
          <w:b/>
          <w:i w:val="false"/>
          <w:color w:val="000000"/>
          <w:sz w:val="16"/>
        </w:rPr>
        <w:t>ARC 3108C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 xml:space="preserve">; </w:t>
      </w:r>
      <w:r>
        <w:rPr>
          <w:rFonts w:ascii="Times New Roman" w:hAnsi="Times New Roman"/>
          <w:b/>
          <w:i w:val="false"/>
          <w:color w:val="000000"/>
          <w:sz w:val="16"/>
        </w:rPr>
        <w:t>ARC 5345C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www.iowadot.gov" Type="http://schemas.openxmlformats.org/officeDocument/2006/relationships/hyperlink" Id="rId4"/>
    <Relationship TargetMode="External" Target="https://www.legis.iowa.gov/docs/iac/rule/761.405.15.pdf" Type="http://schemas.openxmlformats.org/officeDocument/2006/relationships/hyperlink" Id="rId5"/>
    <Relationship TargetMode="External" Target="https://www.legis.iowa.gov/docs/iac/rule/761.405.15.pdf" Type="http://schemas.openxmlformats.org/officeDocument/2006/relationships/hyperlink" Id="rId6"/>
    <Relationship TargetMode="External" Target="https://www.legis.iowa.gov/docs/ico/chapter/321.52.pdf" Type="http://schemas.openxmlformats.org/officeDocument/2006/relationships/hyperlink" Id="rId7"/>
    <Relationship TargetMode="External" Target="https://www.legis.iowa.gov/docs/ico/chapter/321.1.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