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761—401.4</w:t>
      </w:r>
      <w:r>
        <w:rPr>
          <w:rFonts w:ascii="Times New Roman" w:hAnsi="Times New Roman"/>
          <w:b/>
          <w:i w:val="false"/>
          <w:color w:val="000000"/>
          <w:sz w:val="22"/>
        </w:rPr>
        <w:t xml:space="preserve">(321) </w:t>
      </w:r>
      <w:r>
        <w:rPr>
          <w:rFonts w:ascii="Times New Roman" w:hAnsi="Times New Roman"/>
          <w:b/>
          <w:i w:val="false"/>
          <w:color w:val="000000"/>
          <w:sz w:val="22"/>
        </w:rPr>
        <w:t xml:space="preserve">Gift certificates. </w:t>
      </w:r>
      <w:r>
        <w:rPr>
          <w:rFonts w:ascii="Times New Roman" w:hAnsi="Times New Roman"/>
          <w:b w:val="false"/>
          <w:i w:val="false"/>
          <w:color w:val="000000"/>
          <w:sz w:val="22"/>
        </w:rPr>
        <w:t>Gift certificates for blackout plates, collegiate plates, flying our colors plates, personalized plates, and special registration plates that have eligibility requirements may be purchased using the prescribed plate application. Gift certificates for special registration plates that counties have in their inventories may be purchased from county treasurers’ offices.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5344C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