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761—401.34</w:t>
      </w:r>
      <w:r>
        <w:rPr>
          <w:rFonts w:ascii="Times New Roman" w:hAnsi="Times New Roman"/>
          <w:b/>
          <w:i w:val="false"/>
          <w:color w:val="000000"/>
          <w:sz w:val="22"/>
        </w:rPr>
        <w:t xml:space="preserve">(321) </w:t>
      </w:r>
      <w:r>
        <w:rPr>
          <w:rFonts w:ascii="Times New Roman" w:hAnsi="Times New Roman"/>
          <w:b/>
          <w:i w:val="false"/>
          <w:color w:val="000000"/>
          <w:sz w:val="22"/>
        </w:rPr>
        <w:t xml:space="preserve">Reassignment of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401.34(1)</w:t>
      </w:r>
      <w:r>
        <w:rPr>
          <w:rFonts w:ascii="Times New Roman" w:hAnsi="Times New Roman"/>
          <w:b w:val="false"/>
          <w:i w:val="false"/>
          <w:color w:val="000000"/>
          <w:sz w:val="22"/>
        </w:rPr>
        <w:t> </w:t>
      </w:r>
      <w:r>
        <w:rPr>
          <w:rFonts w:ascii="Times New Roman" w:hAnsi="Times New Roman"/>
          <w:b w:val="false"/>
          <w:i w:val="false"/>
          <w:color w:val="000000"/>
          <w:sz w:val="22"/>
        </w:rPr>
        <w:t>A vehicle owner or lessee who has special registration plates assigned to a currently registered vehicle may request that the plates be reassigned to another currently registered vehicle owned or leased by that person or owned or leased by another person. However, special registration plates that have eligibility requirements may not be reassigned to a vehicle owned or leased by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401.34(2)</w:t>
      </w:r>
      <w:r>
        <w:rPr>
          <w:rFonts w:ascii="Times New Roman" w:hAnsi="Times New Roman"/>
          <w:b w:val="false"/>
          <w:i w:val="false"/>
          <w:color w:val="000000"/>
          <w:sz w:val="22"/>
        </w:rPr>
        <w:t> </w:t>
      </w:r>
      <w:r>
        <w:rPr>
          <w:rFonts w:ascii="Times New Roman" w:hAnsi="Times New Roman"/>
          <w:b w:val="false"/>
          <w:i w:val="false"/>
          <w:color w:val="000000"/>
          <w:sz w:val="22"/>
        </w:rPr>
        <w:t>To reassign plates to a vehicle owned or leased by another person, a written request for reassignment signed by both the assignor and assignee shall be submitted to the county treasurer of the assignee’s county of residence. The special registration plates shall be issued to the assignee by the county treasurer of the assignee’s county of residence in exchange for the registration plates previously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ownership of a vehicle is transferred to another person, the owner shall, within 30 days after the transfer, either surrender the special registration plates to the county treasurer or request reassignment of the plates, as explained in subrules </w:t>
      </w:r>
      <w:hyperlink r:id="rId4">
        <w:r>
          <w:rPr>
            <w:rStyle w:val="Hyperlink"/>
            <w:rFonts w:ascii="Times New Roman" w:hAnsi="Times New Roman"/>
            <w:b w:val="false"/>
            <w:i w:val="false"/>
            <w:color w:val="000000"/>
            <w:sz w:val="22"/>
          </w:rPr>
          <w:t>401.34(1)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401.34(2)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lease for a vehicle is terminated, the lessee shall, within 30 days after the termination, either surrender the special registration plates to the county treasurer or request reassignment of the plates, as explained in subrules </w:t>
      </w:r>
      <w:hyperlink r:id="rId6">
        <w:r>
          <w:rPr>
            <w:rStyle w:val="Hyperlink"/>
            <w:rFonts w:ascii="Times New Roman" w:hAnsi="Times New Roman"/>
            <w:b w:val="false"/>
            <w:i w:val="false"/>
            <w:color w:val="000000"/>
            <w:sz w:val="22"/>
          </w:rPr>
          <w:t>401.34(1)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401.34(2)</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401.34.pdf" Type="http://schemas.openxmlformats.org/officeDocument/2006/relationships/hyperlink" Id="rId4"/>
    <Relationship TargetMode="External" Target="https://www.legis.iowa.gov/docs/iac/rule/761.401.34.pdf" Type="http://schemas.openxmlformats.org/officeDocument/2006/relationships/hyperlink" Id="rId5"/>
    <Relationship TargetMode="External" Target="https://www.legis.iowa.gov/docs/iac/rule/761.401.34.pdf" Type="http://schemas.openxmlformats.org/officeDocument/2006/relationships/hyperlink" Id="rId6"/>
    <Relationship TargetMode="External" Target="https://www.legis.iowa.gov/docs/iac/rule/761.401.3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