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761—401.32</w:t>
      </w:r>
      <w:r>
        <w:rPr>
          <w:rFonts w:ascii="Times New Roman" w:hAnsi="Times New Roman"/>
          <w:b/>
          <w:i w:val="false"/>
          <w:color w:val="000000"/>
          <w:sz w:val="22"/>
        </w:rPr>
        <w:t xml:space="preserve">(321) </w:t>
      </w:r>
      <w:r>
        <w:rPr>
          <w:rFonts w:ascii="Times New Roman" w:hAnsi="Times New Roman"/>
          <w:b/>
          <w:i w:val="false"/>
          <w:color w:val="000000"/>
          <w:sz w:val="22"/>
        </w:rPr>
        <w:t xml:space="preserve">Surrender of plates. </w:t>
      </w:r>
      <w:r>
        <w:rPr>
          <w:rFonts w:ascii="Times New Roman" w:hAnsi="Times New Roman"/>
          <w:b w:val="false"/>
          <w:i w:val="false"/>
          <w:color w:val="000000"/>
          <w:sz w:val="22"/>
        </w:rPr>
        <w:t>Special registration plates issued to a person who is no longer eligible for the plates shall be surrendered to the county treasurer in exchange for regular registration plates within 30 days after the date of the event that made the person ineligible. If the vehicle was exempt from the payment of regular registration fees due to the type of special registration plates issued, the vehicle shall become subject to the payment of regular registration fees on the first day of the month following the date of the event that made the person ineligible. The regular registration fees shall be prorated for the remaining unexpired months of the registration year.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