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761—401.21</w:t>
      </w:r>
      <w:r>
        <w:rPr>
          <w:rFonts w:ascii="Times New Roman" w:hAnsi="Times New Roman"/>
          <w:b/>
          <w:i w:val="false"/>
          <w:color w:val="000000"/>
          <w:sz w:val="22"/>
        </w:rPr>
        <w:t xml:space="preserve">(321) </w:t>
      </w:r>
      <w:r>
        <w:rPr>
          <w:rFonts w:ascii="Times New Roman" w:hAnsi="Times New Roman"/>
          <w:b/>
          <w:i w:val="false"/>
          <w:color w:val="000000"/>
          <w:sz w:val="22"/>
        </w:rPr>
        <w:t xml:space="preserve">Ex-prisoner of war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401.21(1)</w:t>
      </w:r>
      <w:r>
        <w:rPr>
          <w:rFonts w:ascii="Times New Roman" w:hAnsi="Times New Roman"/>
          <w:b w:val="false"/>
          <w:i w:val="false"/>
          <w:color w:val="000000"/>
          <w:sz w:val="22"/>
        </w:rPr>
        <w:t> </w:t>
      </w:r>
      <w:r>
        <w:rPr>
          <w:rFonts w:ascii="Times New Roman" w:hAnsi="Times New Roman"/>
          <w:b w:val="false"/>
          <w:i w:val="false"/>
          <w:color w:val="000000"/>
          <w:sz w:val="22"/>
        </w:rPr>
        <w:t>Application for special plates with an ex-prisoner of war processed emblem shall be submitted to the department in a manner prescribed by the department. The applicant shall attach a copy of an official government document verifying that the applicant was a prisoner of war. If the document is not available, a person who has knowledge that the applicant was a prisoner of war shall sign a statement to that effect on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401.21(2)</w:t>
      </w:r>
      <w:r>
        <w:rPr>
          <w:rFonts w:ascii="Times New Roman" w:hAnsi="Times New Roman"/>
          <w:b w:val="false"/>
          <w:i w:val="false"/>
          <w:color w:val="000000"/>
          <w:sz w:val="22"/>
        </w:rPr>
        <w:t> </w:t>
      </w:r>
      <w:r>
        <w:rPr>
          <w:rFonts w:ascii="Times New Roman" w:hAnsi="Times New Roman"/>
          <w:b w:val="false"/>
          <w:i w:val="false"/>
          <w:color w:val="000000"/>
          <w:sz w:val="22"/>
        </w:rPr>
        <w:t>The surviving spouse of a person who was issued ex-prisoner of war plates may continue to use or apply for the plates. If the surviving spouse remarries, the surviving spouse shall surrender the plates to the county treasurer in exchange for regular registration plates within 30 days after the date on the marriage certificate. Ex-prisoner of war plates may not be reissued once this event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401.21(3)</w:t>
      </w:r>
      <w:r>
        <w:rPr>
          <w:rFonts w:ascii="Times New Roman" w:hAnsi="Times New Roman"/>
          <w:b w:val="false"/>
          <w:i w:val="false"/>
          <w:color w:val="000000"/>
          <w:sz w:val="22"/>
        </w:rPr>
        <w:t> </w:t>
      </w:r>
      <w:r>
        <w:rPr>
          <w:rFonts w:ascii="Times New Roman" w:hAnsi="Times New Roman"/>
          <w:b w:val="false"/>
          <w:i w:val="false"/>
          <w:color w:val="000000"/>
          <w:sz w:val="22"/>
        </w:rPr>
        <w:t>Personalized plates with an ex-prisoner of war processed emblem are not available.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