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761—401.18</w:t>
      </w:r>
      <w:r>
        <w:rPr>
          <w:rFonts w:ascii="Times New Roman" w:hAnsi="Times New Roman"/>
          <w:b/>
          <w:i w:val="false"/>
          <w:color w:val="000000"/>
          <w:sz w:val="22"/>
        </w:rPr>
        <w:t xml:space="preserve">(321) </w:t>
      </w:r>
      <w:r>
        <w:rPr>
          <w:rFonts w:ascii="Times New Roman" w:hAnsi="Times New Roman"/>
          <w:b/>
          <w:i w:val="false"/>
          <w:color w:val="000000"/>
          <w:sz w:val="22"/>
        </w:rPr>
        <w:t xml:space="preserve">Combat infantryman badge, combat action badge, combat action ribbon, air force combat action medal, combat medical badge, fallen peace officers and civil war sesquicentennial plates. </w:t>
      </w:r>
      <w:r>
        <w:rPr>
          <w:rFonts w:ascii="Times New Roman" w:hAnsi="Times New Roman"/>
          <w:b w:val="false"/>
          <w:i w:val="false"/>
          <w:color w:val="000000"/>
          <w:sz w:val="22"/>
        </w:rPr>
        <w:t xml:space="preserve">Following is the application and approval process for special plate requests under Iowa Code section </w:t>
      </w:r>
      <w:hyperlink r:id="rId4">
        <w:r>
          <w:rPr>
            <w:rStyle w:val="Hyperlink"/>
            <w:rFonts w:ascii="Times New Roman" w:hAnsi="Times New Roman"/>
            <w:b w:val="false"/>
            <w:i w:val="false"/>
            <w:color w:val="000000"/>
            <w:sz w:val="22"/>
          </w:rPr>
          <w:t>321.34(20C)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401.18(1)</w:t>
      </w:r>
      <w:r>
        <w:rPr>
          <w:rFonts w:ascii="Times New Roman" w:hAnsi="Times New Roman"/>
          <w:b w:val="false"/>
          <w:i w:val="false"/>
          <w:color w:val="000000"/>
          <w:sz w:val="22"/>
        </w:rPr>
        <w:t> </w:t>
      </w:r>
      <w:r>
        <w:rPr>
          <w:rFonts w:ascii="Times New Roman" w:hAnsi="Times New Roman"/>
          <w:b w:val="false"/>
          <w:i/>
          <w:color w:val="000000"/>
          <w:sz w:val="22"/>
        </w:rPr>
        <w:t xml:space="preserve">Design.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plates shall be a standard background plate with a distinguishing processed emblem specific to each plate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distinguishing processed emblem shall be limited to 2.875ʺ × 3ʺ on the registration plate.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distinguishing processed emblem owned or subject to legal rights of another person will not be used unless the department receives certification from the person that allows use of the emblem. The certification must include a statement holding the department harmless for using the emblem on a registration plate.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vehicle and motor carrier services bureau may consult with other organizations, law enforcement authorities, and the general public concerning distinguishing processed emblems.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401.18(2)</w:t>
      </w:r>
      <w:r>
        <w:rPr>
          <w:rFonts w:ascii="Times New Roman" w:hAnsi="Times New Roman"/>
          <w:b w:val="false"/>
          <w:i w:val="false"/>
          <w:color w:val="000000"/>
          <w:sz w:val="22"/>
        </w:rPr>
        <w:t> </w:t>
      </w:r>
      <w:r>
        <w:rPr>
          <w:rFonts w:ascii="Times New Roman" w:hAnsi="Times New Roman"/>
          <w:b w:val="false"/>
          <w:i/>
          <w:color w:val="000000"/>
          <w:sz w:val="22"/>
        </w:rPr>
        <w:t xml:space="preserve">Production. </w:t>
      </w:r>
      <w:r>
        <w:rPr>
          <w:rFonts w:ascii="Times New Roman" w:hAnsi="Times New Roman"/>
          <w:b w:val="false"/>
          <w:i w:val="false"/>
          <w:color w:val="000000"/>
          <w:sz w:val="22"/>
        </w:rPr>
        <w:t>None of the special registration plates subject to this rule will be manufactured or issued until 250 paid applications are submitted to the department. This minimum order requirement applies to each of the special registration plates subject to this rule. Each application must be accompanied by a statutory start-up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401.18(3)</w:t>
      </w:r>
      <w:r>
        <w:rPr>
          <w:rFonts w:ascii="Times New Roman" w:hAnsi="Times New Roman"/>
          <w:b w:val="false"/>
          <w:i w:val="false"/>
          <w:color w:val="000000"/>
          <w:sz w:val="22"/>
        </w:rPr>
        <w:t> </w:t>
      </w:r>
      <w:r>
        <w:rPr>
          <w:rFonts w:ascii="Times New Roman" w:hAnsi="Times New Roman"/>
          <w:b w:val="false"/>
          <w:i/>
          <w:color w:val="000000"/>
          <w:sz w:val="22"/>
        </w:rPr>
        <w:t xml:space="preserve">Discontinuance. </w:t>
      </w:r>
      <w:r>
        <w:rPr>
          <w:rFonts w:ascii="Times New Roman" w:hAnsi="Times New Roman"/>
          <w:b w:val="false"/>
          <w:i w:val="false"/>
          <w:color w:val="000000"/>
          <w:sz w:val="22"/>
        </w:rPr>
        <w:t>If 250 paid applications for any special registration plate subject to this rule are not submitted within one year after the date the department makes the plate available for application, the department shall report that fact to the legislature at the next regular session of the general assembly and request authority to discontinue the special registration plate.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401.18(4)</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either letter-number designated or personalized combat infantryman badge, combat action badge, combat action ribbon, air force combat action medal, or combat medical badge special registration plates shall be submitted to the department in a manner prescribed by the department. The applicant shall attach to the application a copy of an official government document verifying award of the combat infantryman badge, combat action badge, combat action ribbon, air force combat action medal or combat medical badge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letter-number designated civil war sesquicentennial or fallen peace officers special registration plates shall be submitted to the 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personalized civil war sesquicentennial or fallen peace officers special registration plates shall be submitted to the department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401.18(5)</w:t>
      </w:r>
      <w:r>
        <w:rPr>
          <w:rFonts w:ascii="Times New Roman" w:hAnsi="Times New Roman"/>
          <w:b w:val="false"/>
          <w:i w:val="false"/>
          <w:color w:val="000000"/>
          <w:sz w:val="22"/>
        </w:rPr>
        <w:t> </w:t>
      </w:r>
      <w:r>
        <w:rPr>
          <w:rFonts w:ascii="Times New Roman" w:hAnsi="Times New Roman"/>
          <w:b w:val="false"/>
          <w:i/>
          <w:color w:val="000000"/>
          <w:sz w:val="22"/>
        </w:rPr>
        <w:t xml:space="preserve">Characters. </w:t>
      </w:r>
      <w:r>
        <w:rPr>
          <w:rFonts w:ascii="Times New Roman" w:hAnsi="Times New Roman"/>
          <w:b w:val="false"/>
          <w:i w:val="false"/>
          <w:color w:val="000000"/>
          <w:sz w:val="22"/>
        </w:rPr>
        <w:t xml:space="preserve">Plates are limited to five characters. Personalized plates shall consist of no less than two nor more than five characters and shall be issued in accordance with subrule </w:t>
      </w:r>
      <w:hyperlink r:id="rId5">
        <w:r>
          <w:rPr>
            <w:rStyle w:val="Hyperlink"/>
            <w:rFonts w:ascii="Times New Roman" w:hAnsi="Times New Roman"/>
            <w:b w:val="false"/>
            <w:i w:val="false"/>
            <w:color w:val="000000"/>
            <w:sz w:val="22"/>
          </w:rPr>
          <w:t>401.6(2),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401.18(6)</w:t>
      </w:r>
      <w:r>
        <w:rPr>
          <w:rFonts w:ascii="Times New Roman" w:hAnsi="Times New Roman"/>
          <w:b w:val="false"/>
          <w:i w:val="false"/>
          <w:color w:val="000000"/>
          <w:sz w:val="22"/>
        </w:rPr>
        <w:t> </w:t>
      </w:r>
      <w:r>
        <w:rPr>
          <w:rFonts w:ascii="Times New Roman" w:hAnsi="Times New Roman"/>
          <w:b w:val="false"/>
          <w:i/>
          <w:color w:val="000000"/>
          <w:sz w:val="22"/>
        </w:rPr>
        <w:t xml:space="preserve">Right of approval. </w:t>
      </w:r>
      <w:r>
        <w:rPr>
          <w:rFonts w:ascii="Times New Roman" w:hAnsi="Times New Roman"/>
          <w:b w:val="false"/>
          <w:i w:val="false"/>
          <w:color w:val="000000"/>
          <w:sz w:val="22"/>
        </w:rPr>
        <w:t>The department reserves the right to approve or disapprove any application.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9833B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3935C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34.pdf" Type="http://schemas.openxmlformats.org/officeDocument/2006/relationships/hyperlink" Id="rId4"/>
    <Relationship TargetMode="External" Target="https://www.legis.iowa.gov/docs/iac/rule/761.401.6.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