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761—401.14</w:t>
      </w:r>
      <w:r>
        <w:rPr>
          <w:rFonts w:ascii="Times New Roman" w:hAnsi="Times New Roman"/>
          <w:b/>
          <w:i w:val="false"/>
          <w:color w:val="000000"/>
          <w:sz w:val="22"/>
        </w:rPr>
        <w:t xml:space="preserve">(321) </w:t>
      </w:r>
      <w:r>
        <w:rPr>
          <w:rFonts w:ascii="Times New Roman" w:hAnsi="Times New Roman"/>
          <w:b/>
          <w:i w:val="false"/>
          <w:color w:val="000000"/>
          <w:sz w:val="22"/>
        </w:rPr>
        <w:t xml:space="preserve">Flying our colors plates.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401.14(1)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Application for flying our colors plates shall be submitted to the department in a manner prescribed by the department. The applicant may request letter-number designated flying our colors plates or personalized flying our colors plates. Flying our colors plates are available for autocycles, motor trucks, motor homes, multipurpose vehicles, motorcycles, trailers and travel trailers.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401.14(2)</w:t>
      </w:r>
      <w:r>
        <w:rPr>
          <w:rFonts w:ascii="Times New Roman" w:hAnsi="Times New Roman"/>
          <w:b w:val="false"/>
          <w:i w:val="false"/>
          <w:color w:val="000000"/>
          <w:sz w:val="22"/>
        </w:rPr>
        <w:t> </w:t>
      </w:r>
      <w:r>
        <w:rPr>
          <w:rFonts w:ascii="Times New Roman" w:hAnsi="Times New Roman"/>
          <w:b w:val="false"/>
          <w:i/>
          <w:color w:val="000000"/>
          <w:sz w:val="22"/>
        </w:rPr>
        <w:t xml:space="preserve">Characters. </w:t>
      </w:r>
      <w:r>
        <w:rPr>
          <w:rFonts w:ascii="Times New Roman" w:hAnsi="Times New Roman"/>
          <w:b w:val="false"/>
          <w:i w:val="false"/>
          <w:color w:val="000000"/>
          <w:sz w:val="22"/>
        </w:rPr>
        <w:t xml:space="preserve">Personalized flying our colors plates shall be issued in accordance with </w:t>
      </w:r>
      <w:hyperlink r:id="rId4">
        <w:r>
          <w:rPr>
            <w:rStyle w:val="Hyperlink"/>
            <w:rFonts w:ascii="Times New Roman" w:hAnsi="Times New Roman"/>
            <w:b w:val="false"/>
            <w:i w:val="false"/>
            <w:color w:val="000000"/>
            <w:sz w:val="22"/>
          </w:rPr>
          <w:t>subrule 401.6(2)</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5344C</w:t>
      </w:r>
      <w:r>
        <w:rPr>
          <w:rFonts w:ascii="Times New Roman" w:hAnsi="Times New Roman"/>
          <w:b w:val="false"/>
          <w:i w:val="false"/>
          <w:color w:val="000000"/>
          <w:sz w:val="16"/>
        </w:rPr>
        <w:t>, IAB 12/30/20, effective 2/3/21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61.401.6.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