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761—401.11</w:t>
      </w:r>
      <w:r>
        <w:rPr>
          <w:rFonts w:ascii="Times New Roman" w:hAnsi="Times New Roman"/>
          <w:b/>
          <w:i w:val="false"/>
          <w:color w:val="000000"/>
          <w:sz w:val="22"/>
        </w:rPr>
        <w:t xml:space="preserve">(321) </w:t>
      </w:r>
      <w:r>
        <w:rPr>
          <w:rFonts w:ascii="Times New Roman" w:hAnsi="Times New Roman"/>
          <w:b/>
          <w:i w:val="false"/>
          <w:color w:val="000000"/>
          <w:sz w:val="22"/>
        </w:rPr>
        <w:t xml:space="preserve">Natural resources plates. </w:t>
      </w:r>
      <w:r>
        <w:rPr>
          <w:rFonts w:ascii="Times New Roman" w:hAnsi="Times New Roman"/>
          <w:b w:val="false"/>
          <w:i w:val="false"/>
          <w:color w:val="000000"/>
          <w:sz w:val="22"/>
        </w:rPr>
        <w:t xml:space="preserve">Letter-number designated natural resources plates are limited to five characters. Personalized natural resources plates shall consist of no less than two nor more than five characters and shall be issued in accordance with subrule </w:t>
      </w:r>
      <w:hyperlink r:id="rId4">
        <w:r>
          <w:rPr>
            <w:rStyle w:val="Hyperlink"/>
            <w:rFonts w:ascii="Times New Roman" w:hAnsi="Times New Roman"/>
            <w:b w:val="false"/>
            <w:i w:val="false"/>
            <w:color w:val="000000"/>
            <w:sz w:val="22"/>
          </w:rPr>
          <w:t>401.6(2), paragraphs </w:t>
        </w:r>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“d.”</w:t>
        </w:r>
      </w:hyperlink>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61.401.6.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