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761—160.4</w:t>
      </w:r>
      <w:r>
        <w:rPr>
          <w:rFonts w:ascii="Times New Roman" w:hAnsi="Times New Roman"/>
          <w:b/>
          <w:i w:val="false"/>
          <w:color w:val="000000"/>
          <w:sz w:val="22"/>
        </w:rPr>
        <w:t xml:space="preserve">(312) </w:t>
      </w:r>
      <w:r>
        <w:rPr>
          <w:rFonts w:ascii="Times New Roman" w:hAnsi="Times New Roman"/>
          <w:b/>
          <w:i w:val="false"/>
          <w:color w:val="000000"/>
          <w:sz w:val="22"/>
        </w:rPr>
        <w:t xml:space="preserve">Administration of funds. </w:t>
      </w:r>
      <w:r>
        <w:rPr>
          <w:rFonts w:ascii="Times New Roman" w:hAnsi="Times New Roman"/>
          <w:b w:val="false"/>
          <w:i w:val="false"/>
          <w:color w:val="000000"/>
          <w:sz w:val="22"/>
        </w:rPr>
        <w:t>The department shall allocate the funds to counties and cities for bridge construction and reconstruction projects based on needs. The funds shall be administered by the department’s office of local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160.4(1)</w:t>
      </w:r>
      <w:r>
        <w:rPr>
          <w:rFonts w:ascii="Times New Roman" w:hAnsi="Times New Roman"/>
          <w:b w:val="false"/>
          <w:i w:val="false"/>
          <w:color w:val="000000"/>
          <w:sz w:val="22"/>
        </w:rPr>
        <w:t> </w:t>
      </w:r>
      <w:r>
        <w:rPr>
          <w:rFonts w:ascii="Times New Roman" w:hAnsi="Times New Roman"/>
          <w:b w:val="false"/>
          <w:i w:val="false"/>
          <w:color w:val="000000"/>
          <w:sz w:val="22"/>
        </w:rPr>
        <w:t>The county bridge construction fund shall be allocated for projects on secondary roads as determined by the department after consultation with county officials through their representative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160.4(2)</w:t>
      </w:r>
      <w:r>
        <w:rPr>
          <w:rFonts w:ascii="Times New Roman" w:hAnsi="Times New Roman"/>
          <w:b w:val="false"/>
          <w:i w:val="false"/>
          <w:color w:val="000000"/>
          <w:sz w:val="22"/>
        </w:rPr>
        <w:t> </w:t>
      </w:r>
      <w:r>
        <w:rPr>
          <w:rFonts w:ascii="Times New Roman" w:hAnsi="Times New Roman"/>
          <w:b w:val="false"/>
          <w:i w:val="false"/>
          <w:color w:val="000000"/>
          <w:sz w:val="22"/>
        </w:rPr>
        <w:t>The city bridge construction fund shall be allocated for projects on city streets as determined by the department after consultation with city officials through their representative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160.4(3)</w:t>
      </w:r>
      <w:r>
        <w:rPr>
          <w:rFonts w:ascii="Times New Roman" w:hAnsi="Times New Roman"/>
          <w:b w:val="false"/>
          <w:i w:val="false"/>
          <w:color w:val="000000"/>
          <w:sz w:val="22"/>
        </w:rPr>
        <w:t> </w:t>
      </w:r>
      <w:r>
        <w:rPr>
          <w:rFonts w:ascii="Times New Roman" w:hAnsi="Times New Roman"/>
          <w:b w:val="false"/>
          <w:i w:val="false"/>
          <w:color w:val="000000"/>
          <w:sz w:val="22"/>
        </w:rPr>
        <w:t>To be considered for funding, a proposed project must be on the appropriate eligibility list maintained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maintain a county bridge construction fund eligibility list and a city bridge construction fund eligibility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local jurisdiction may propose a project by submitting a project application to the office of local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otherwise agreed to by the city and county, a proposed project for a bridge located on the line dividing incorporated and unincorporated areas shall be placed on the eligibility list that corresponds to the jurisdiction submitting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160.4(4)</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allocation, the department shall rank the proposed projects within each eligibility list by a priority system based on needs, as developed under subrules </w:t>
      </w:r>
      <w:hyperlink r:id="rId4">
        <w:r>
          <w:rPr>
            <w:rStyle w:val="Hyperlink"/>
            <w:rFonts w:ascii="Times New Roman" w:hAnsi="Times New Roman"/>
            <w:b w:val="false"/>
            <w:i w:val="false"/>
            <w:color w:val="000000"/>
            <w:sz w:val="22"/>
          </w:rPr>
          <w:t>160.4(1)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160.4(2)</w:t>
        </w:r>
      </w:hyperlink>
      <w:r>
        <w:rPr>
          <w:rFonts w:ascii="Times New Roman" w:hAnsi="Times New Roman"/>
          <w:b w:val="false"/>
          <w:i w:val="false"/>
          <w:color w:val="000000"/>
          <w:sz w:val="22"/>
        </w:rPr>
        <w:t>. The priority system will include various items such as, but not limited to, structural condition, traffic, and detour length. For each list, the department shall allocate funds, within the limits of funding availability, to those projects ranked as having the greatest needs.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2425C</w:t>
      </w:r>
      <w:r>
        <w:rPr>
          <w:rFonts w:ascii="Times New Roman" w:hAnsi="Times New Roman"/>
          <w:b w:val="false"/>
          <w:i w:val="false"/>
          <w:color w:val="000000"/>
          <w:sz w:val="16"/>
        </w:rPr>
        <w:t>, IAB 3/2/16, effective 4/6/16</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160.4.pdf" Type="http://schemas.openxmlformats.org/officeDocument/2006/relationships/hyperlink" Id="rId4"/>
    <Relationship TargetMode="External" Target="https://www.legis.iowa.gov/docs/iac/rule/761.160.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