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761—160.3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(312)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Source of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312.2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provides for yearly credits from the road use tax fund of $2 million to the county bridge construction fund and $500,000 to the city bridge construction fund.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2425C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3/2/16, effective 4/6/16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12.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