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761—160.1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(312)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purpose of these rules is to establish requirements for the counties’ and cities’ bridge construction funds, in accordance with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312.2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2425C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3/2/16, effective 4/6/16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12.2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