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Reapplication for modification.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county may reapply for a modification to the farm-to-market road system if its initial request is denied. The county must again follow all provisions for requesting a modification and should be prepared to present additional information in support of the requested change. Any requested system modification that receives two denials may not be resubmitted for consideration for a minimum of three years.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