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and modification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 shall direct the board to review these rules annually. Board members may recommend changes to these rules.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