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761—101.10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Judicial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county that is aggrieved or adversely affected by a decision of the farm-to-market review board may seek judicial review of such agency action under the provisions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