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commission shall not adopt a rule until the period for making written submissions and oral presentations has expired. Within 180 days after the later of the publication of the Notice of Intended Action, or the end of oral proceedings thereon, the commission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commission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color w:val="000000"/>
          <w:sz w:val="22"/>
        </w:rPr>
        <w:t xml:space="preserve">Reliance on commission expertise. </w:t>
      </w:r>
      <w:r>
        <w:rPr>
          <w:rFonts w:ascii="Times New Roman" w:hAnsi="Times New Roman"/>
          <w:b w:val="false"/>
          <w:i w:val="false"/>
          <w:color w:val="000000"/>
          <w:sz w:val="22"/>
        </w:rPr>
        <w:t>Except as otherwise provided by law, the commission may use its own experience, technical competence, specialized knowledge, and judgment in the adoption of a rule.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