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751—18.7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(17A,25B)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Fiscal impact statement.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18.7(1)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proposed rule that mandates additional combined expenditures exceeding $100,000 by all affected political subdivisions or agencies and entities which contract with political subdivisions to provide services must be accompanied by a fiscal impact statement outlining the costs associated with the rule. A fiscal impact statement must satisfy the requirements of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25B.6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18.7(2)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the commission determines at the time it adopts a rule that the fiscal impact statement upon which the rule is based contains errors, the commission shall, at the same time, issue a corrected fiscal impact statement and publish the corrected fiscal impact statement in the Iowa Administrative Bulletin.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25B.6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