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751—18.6</w:t>
      </w:r>
      <w:r>
        <w:rPr>
          <w:rFonts w:ascii="Times New Roman" w:hAnsi="Times New Roman"/>
          <w:b/>
          <w:i w:val="false"/>
          <w:color w:val="000000"/>
          <w:sz w:val="22"/>
        </w:rPr>
        <w:t xml:space="preserve">(17A) </w:t>
      </w:r>
      <w:r>
        <w:rPr>
          <w:rFonts w:ascii="Times New Roman" w:hAnsi="Times New Roman"/>
          <w:b/>
          <w:i w:val="false"/>
          <w:color w:val="000000"/>
          <w:sz w:val="22"/>
        </w:rPr>
        <w:t xml:space="preserve">Regulatory analysis.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18.6(1)</w:t>
      </w:r>
      <w:r>
        <w:rPr>
          <w:rFonts w:ascii="Times New Roman" w:hAnsi="Times New Roman"/>
          <w:b w:val="false"/>
          <w:i w:val="false"/>
          <w:color w:val="000000"/>
          <w:sz w:val="22"/>
        </w:rPr>
        <w:t> </w:t>
      </w:r>
      <w:r>
        <w:rPr>
          <w:rFonts w:ascii="Times New Roman" w:hAnsi="Times New Roman"/>
          <w:b w:val="false"/>
          <w:i/>
          <w:color w:val="000000"/>
          <w:sz w:val="22"/>
        </w:rPr>
        <w:t xml:space="preserve">Definition of small business. </w:t>
      </w:r>
      <w:r>
        <w:rPr>
          <w:rFonts w:ascii="Times New Roman" w:hAnsi="Times New Roman"/>
          <w:b w:val="false"/>
          <w:i w:val="false"/>
          <w:color w:val="000000"/>
          <w:sz w:val="22"/>
        </w:rPr>
        <w:t xml:space="preserve">A “small business” is defined in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18.6(2)</w:t>
      </w:r>
      <w:r>
        <w:rPr>
          <w:rFonts w:ascii="Times New Roman" w:hAnsi="Times New Roman"/>
          <w:b w:val="false"/>
          <w:i w:val="false"/>
          <w:color w:val="000000"/>
          <w:sz w:val="22"/>
        </w:rPr>
        <w:t> </w:t>
      </w:r>
      <w:r>
        <w:rPr>
          <w:rFonts w:ascii="Times New Roman" w:hAnsi="Times New Roman"/>
          <w:b w:val="false"/>
          <w:i/>
          <w:color w:val="000000"/>
          <w:sz w:val="22"/>
        </w:rPr>
        <w:t xml:space="preserve">Mailing list. </w:t>
      </w:r>
      <w:r>
        <w:rPr>
          <w:rFonts w:ascii="Times New Roman" w:hAnsi="Times New Roman"/>
          <w:b w:val="false"/>
          <w:i w:val="false"/>
          <w:color w:val="000000"/>
          <w:sz w:val="22"/>
        </w:rPr>
        <w:t xml:space="preserve">Small businesses or organizations of small businesses may be registered on the commission’s small business impact list by making a written application addressed to the executive director at the ICN main office location as listed in </w:t>
      </w:r>
      <w:hyperlink r:id="rId4">
        <w:r>
          <w:rPr>
            <w:rStyle w:val="Hyperlink"/>
            <w:rFonts w:ascii="Times New Roman" w:hAnsi="Times New Roman"/>
            <w:b w:val="false"/>
            <w:i w:val="false"/>
            <w:color w:val="000000"/>
            <w:sz w:val="22"/>
          </w:rPr>
          <w:t>751—subrule 1.6(1)</w:t>
        </w:r>
      </w:hyperlink>
      <w:r>
        <w:rPr>
          <w:rFonts w:ascii="Times New Roman" w:hAnsi="Times New Roman"/>
          <w:b w:val="false"/>
          <w:i w:val="false"/>
          <w:color w:val="000000"/>
          <w:sz w:val="22"/>
        </w:rPr>
        <w:t>. The application for registration shall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small business or organization of small businesses;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Its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a person authorized to transact business for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the applicant’s business or organization. An organization representing 25 or more persons who qualify as a small business shall indicate that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registrant desires copies of Notices of Intended Action at cost, or desires advance notice of the subject of all or some specific category of proposed rule making affecting small business.</w:t>
      </w:r>
    </w:p>
    <w:p>
      <w:pPr>
        <w:spacing w:before="0" w:after="0"/>
        <w:ind w:left="120"/>
        <w:jc w:val="both"/>
      </w:pPr>
      <w:r>
        <w:rPr>
          <w:rFonts w:ascii="Times New Roman" w:hAnsi="Times New Roman"/>
          <w:b w:val="false"/>
          <w:i w:val="false"/>
          <w:color w:val="000000"/>
          <w:sz w:val="22"/>
        </w:rPr>
        <w:t>The commission may at any time request additional information from the applicant to determine whether the applicant is qualified as a small business or as an organization of 25 or more small businesses. The commission may periodically send a letter to each registered small business or organization, business or organization of small businesses asking whether that business or organization wishes to remain on the registration list. The name of a small business or organization of small businesses will be removed from the list if a negative response is received, or if no response is received within 30 days after the letter is 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18.6(3)</w:t>
      </w:r>
      <w:r>
        <w:rPr>
          <w:rFonts w:ascii="Times New Roman" w:hAnsi="Times New Roman"/>
          <w:b w:val="false"/>
          <w:i w:val="false"/>
          <w:color w:val="000000"/>
          <w:sz w:val="22"/>
        </w:rPr>
        <w:t> </w:t>
      </w:r>
      <w:r>
        <w:rPr>
          <w:rFonts w:ascii="Times New Roman" w:hAnsi="Times New Roman"/>
          <w:b w:val="false"/>
          <w:i/>
          <w:color w:val="000000"/>
          <w:sz w:val="22"/>
        </w:rPr>
        <w:t xml:space="preserve">Time of mailing. </w:t>
      </w:r>
      <w:r>
        <w:rPr>
          <w:rFonts w:ascii="Times New Roman" w:hAnsi="Times New Roman"/>
          <w:b w:val="false"/>
          <w:i w:val="false"/>
          <w:color w:val="000000"/>
          <w:sz w:val="22"/>
        </w:rPr>
        <w:t xml:space="preserve">Within seven days after submission of a Notice of Intended Action to the administrative rules coordinator for publication in the Iowa Administrative Bulletin, the commission shall mail to all registered small businesses or organizations of small businesses, in accordance with their request, either a copy of the Notice of Intended Action or notice of the subject of that proposed rule making. In the case of a rule that may have an impact on small business adopted in reliance upon Iowa Code section </w:t>
      </w:r>
      <w:hyperlink r:id="rId5">
        <w:r>
          <w:rPr>
            <w:rStyle w:val="Hyperlink"/>
            <w:rFonts w:ascii="Times New Roman" w:hAnsi="Times New Roman"/>
            <w:b w:val="false"/>
            <w:i w:val="false"/>
            <w:color w:val="000000"/>
            <w:sz w:val="22"/>
          </w:rPr>
          <w:t>17A.4(2)</w:t>
        </w:r>
      </w:hyperlink>
      <w:r>
        <w:rPr>
          <w:rFonts w:ascii="Times New Roman" w:hAnsi="Times New Roman"/>
          <w:b w:val="false"/>
          <w:i w:val="false"/>
          <w:color w:val="000000"/>
          <w:sz w:val="22"/>
        </w:rPr>
        <w:t>, the commission shall mail notice of the adopted rule to registered businesses or organizations prior to the time the adopted rule is published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18.6(4)</w:t>
      </w:r>
      <w:r>
        <w:rPr>
          <w:rFonts w:ascii="Times New Roman" w:hAnsi="Times New Roman"/>
          <w:b w:val="false"/>
          <w:i w:val="false"/>
          <w:color w:val="000000"/>
          <w:sz w:val="22"/>
        </w:rPr>
        <w:t> </w:t>
      </w:r>
      <w:r>
        <w:rPr>
          <w:rFonts w:ascii="Times New Roman" w:hAnsi="Times New Roman"/>
          <w:b w:val="false"/>
          <w:i/>
          <w:color w:val="000000"/>
          <w:sz w:val="22"/>
        </w:rPr>
        <w:t xml:space="preserve">Qualified requesters for regulatory analysis—economic impact. </w:t>
      </w:r>
      <w:r>
        <w:rPr>
          <w:rFonts w:ascii="Times New Roman" w:hAnsi="Times New Roman"/>
          <w:b w:val="false"/>
          <w:i w:val="false"/>
          <w:color w:val="000000"/>
          <w:sz w:val="22"/>
        </w:rPr>
        <w:t xml:space="preserve">The commission shall issue a regulatory analysis of a proposed rule that conforms to the requirements of Iowa Code section </w:t>
      </w:r>
      <w:hyperlink r:id="rId6">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 xml:space="preserve"> after a proper request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18.6(5)</w:t>
      </w:r>
      <w:r>
        <w:rPr>
          <w:rFonts w:ascii="Times New Roman" w:hAnsi="Times New Roman"/>
          <w:b w:val="false"/>
          <w:i w:val="false"/>
          <w:color w:val="000000"/>
          <w:sz w:val="22"/>
        </w:rPr>
        <w:t> </w:t>
      </w:r>
      <w:r>
        <w:rPr>
          <w:rFonts w:ascii="Times New Roman" w:hAnsi="Times New Roman"/>
          <w:b w:val="false"/>
          <w:i/>
          <w:color w:val="000000"/>
          <w:sz w:val="22"/>
        </w:rPr>
        <w:t xml:space="preserve">Qualified requesters for regulatory analysis—business impact. </w:t>
      </w:r>
      <w:r>
        <w:rPr>
          <w:rFonts w:ascii="Times New Roman" w:hAnsi="Times New Roman"/>
          <w:b w:val="false"/>
          <w:i w:val="false"/>
          <w:color w:val="000000"/>
          <w:sz w:val="22"/>
        </w:rPr>
        <w:t xml:space="preserve">The commission shall issue a regulatory analysis of a proposed rule that conforms to the requirements of Iowa Code section </w:t>
      </w:r>
      <w:hyperlink r:id="rId7">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 xml:space="preserve"> after a proper request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administrative rules coordinator;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least 25 or more persons who sign the request provided that each represents a different small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organization representing at least 25 small businesses. That organization shall list the name, address and telephone number of not less than 25 small businesses it represents.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18.6(6)</w:t>
      </w:r>
      <w:r>
        <w:rPr>
          <w:rFonts w:ascii="Times New Roman" w:hAnsi="Times New Roman"/>
          <w:b w:val="false"/>
          <w:i w:val="false"/>
          <w:color w:val="000000"/>
          <w:sz w:val="22"/>
        </w:rPr>
        <w:t> </w:t>
      </w:r>
      <w:r>
        <w:rPr>
          <w:rFonts w:ascii="Times New Roman" w:hAnsi="Times New Roman"/>
          <w:b w:val="false"/>
          <w:i/>
          <w:color w:val="000000"/>
          <w:sz w:val="22"/>
        </w:rPr>
        <w:t xml:space="preserve">Time period for analysis. </w:t>
      </w:r>
      <w:r>
        <w:rPr>
          <w:rFonts w:ascii="Times New Roman" w:hAnsi="Times New Roman"/>
          <w:b w:val="false"/>
          <w:i w:val="false"/>
          <w:color w:val="000000"/>
          <w:sz w:val="22"/>
        </w:rPr>
        <w:t xml:space="preserve">Upon receipt of a timely request for a regulatory analysis, the commission shall adhere to the time lines described in Iowa Code section </w:t>
      </w:r>
      <w:hyperlink r:id="rId8">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18.6(7)</w:t>
      </w:r>
      <w:r>
        <w:rPr>
          <w:rFonts w:ascii="Times New Roman" w:hAnsi="Times New Roman"/>
          <w:b w:val="false"/>
          <w:i w:val="false"/>
          <w:color w:val="000000"/>
          <w:sz w:val="22"/>
        </w:rPr>
        <w:t> </w:t>
      </w:r>
      <w:r>
        <w:rPr>
          <w:rFonts w:ascii="Times New Roman" w:hAnsi="Times New Roman"/>
          <w:b w:val="false"/>
          <w:i/>
          <w:color w:val="000000"/>
          <w:sz w:val="22"/>
        </w:rPr>
        <w:t xml:space="preserve">Contents of request. </w:t>
      </w:r>
      <w:r>
        <w:rPr>
          <w:rFonts w:ascii="Times New Roman" w:hAnsi="Times New Roman"/>
          <w:b w:val="false"/>
          <w:i w:val="false"/>
          <w:color w:val="000000"/>
          <w:sz w:val="22"/>
        </w:rPr>
        <w:t xml:space="preserve">A request for a regulatory analysis is made when it is mailed or delivered to the commission. The request shall be in writing and satisfy the requirements of Iowa Code section </w:t>
      </w:r>
      <w:hyperlink r:id="rId9">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18.6(8)</w:t>
      </w:r>
      <w:r>
        <w:rPr>
          <w:rFonts w:ascii="Times New Roman" w:hAnsi="Times New Roman"/>
          <w:b w:val="false"/>
          <w:i w:val="false"/>
          <w:color w:val="000000"/>
          <w:sz w:val="22"/>
        </w:rPr>
        <w:t> </w:t>
      </w:r>
      <w:r>
        <w:rPr>
          <w:rFonts w:ascii="Times New Roman" w:hAnsi="Times New Roman"/>
          <w:b w:val="false"/>
          <w:i/>
          <w:color w:val="000000"/>
          <w:sz w:val="22"/>
        </w:rPr>
        <w:t xml:space="preserve">Contents of concise summary. </w:t>
      </w:r>
      <w:r>
        <w:rPr>
          <w:rFonts w:ascii="Times New Roman" w:hAnsi="Times New Roman"/>
          <w:b w:val="false"/>
          <w:i w:val="false"/>
          <w:color w:val="000000"/>
          <w:sz w:val="22"/>
        </w:rPr>
        <w:t xml:space="preserve">The contents of the concise summary shall conform to the requirements of Iowa Code section </w:t>
      </w:r>
      <w:hyperlink r:id="rId10">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18.6(9)</w:t>
      </w:r>
      <w:r>
        <w:rPr>
          <w:rFonts w:ascii="Times New Roman" w:hAnsi="Times New Roman"/>
          <w:b w:val="false"/>
          <w:i w:val="false"/>
          <w:color w:val="000000"/>
          <w:sz w:val="22"/>
        </w:rPr>
        <w:t> </w:t>
      </w:r>
      <w:r>
        <w:rPr>
          <w:rFonts w:ascii="Times New Roman" w:hAnsi="Times New Roman"/>
          <w:b w:val="false"/>
          <w:i/>
          <w:color w:val="000000"/>
          <w:sz w:val="22"/>
        </w:rPr>
        <w:t xml:space="preserve">Publication of a concise summary. </w:t>
      </w:r>
      <w:r>
        <w:rPr>
          <w:rFonts w:ascii="Times New Roman" w:hAnsi="Times New Roman"/>
          <w:b w:val="false"/>
          <w:i w:val="false"/>
          <w:color w:val="000000"/>
          <w:sz w:val="22"/>
        </w:rPr>
        <w:t xml:space="preserve">The commission shall make available to the maximum extent feasible, copies of the published summary in conformance with Iowa Code section </w:t>
      </w:r>
      <w:hyperlink r:id="rId11">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18.6(10)</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contents—rules review committee or rules coordinator. </w:t>
      </w:r>
      <w:r>
        <w:rPr>
          <w:rFonts w:ascii="Times New Roman" w:hAnsi="Times New Roman"/>
          <w:b w:val="false"/>
          <w:i w:val="false"/>
          <w:color w:val="000000"/>
          <w:sz w:val="22"/>
        </w:rPr>
        <w:t xml:space="preserve">When a regulatory analysis is issued in response to a written request from the administrative rules review committee, or the administrative rules coordinator, the regulatory analysis shall conform to the requirements of Iowa Code section </w:t>
      </w:r>
      <w:hyperlink r:id="rId12">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 xml:space="preserve"> unless a written request expressly waives one or more of the items listed in the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18.6(11)</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contents—substantial impact on small business. </w:t>
      </w:r>
      <w:r>
        <w:rPr>
          <w:rFonts w:ascii="Times New Roman" w:hAnsi="Times New Roman"/>
          <w:b w:val="false"/>
          <w:i w:val="false"/>
          <w:color w:val="000000"/>
          <w:sz w:val="22"/>
        </w:rPr>
        <w:t xml:space="preserve">When a regulatory analysis is issued in response to a written request from the administrative rules review committee, the administrative rules coordinator, at least 25 persons signing that request who each qualify as a small business or by an organization representing at least 25 small businesses, the regulatory analysis shall conform to the requirements of Iowa Code section </w:t>
      </w:r>
      <w:hyperlink r:id="rId13">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51.1.6.pdf" Type="http://schemas.openxmlformats.org/officeDocument/2006/relationships/hyperlink" Id="rId4"/>
    <Relationship TargetMode="External" Target="https://www.legis.iowa.gov/docs/ico/chapter/17A.4.pdf" Type="http://schemas.openxmlformats.org/officeDocument/2006/relationships/hyperlink" Id="rId5"/>
    <Relationship TargetMode="External" Target="https://www.legis.iowa.gov/docs/ico/chapter/17A.4A.pdf" Type="http://schemas.openxmlformats.org/officeDocument/2006/relationships/hyperlink" Id="rId6"/>
    <Relationship TargetMode="External" Target="https://www.legis.iowa.gov/docs/ico/chapter/17A.4A.pdf" Type="http://schemas.openxmlformats.org/officeDocument/2006/relationships/hyperlink" Id="rId7"/>
    <Relationship TargetMode="External" Target="https://www.legis.iowa.gov/docs/ico/chapter/17A.4A.pdf" Type="http://schemas.openxmlformats.org/officeDocument/2006/relationships/hyperlink" Id="rId8"/>
    <Relationship TargetMode="External" Target="https://www.legis.iowa.gov/docs/ico/chapter/17A.4A.pdf" Type="http://schemas.openxmlformats.org/officeDocument/2006/relationships/hyperlink" Id="rId9"/>
    <Relationship TargetMode="External" Target="https://www.legis.iowa.gov/docs/ico/chapter/17A.4A.pdf" Type="http://schemas.openxmlformats.org/officeDocument/2006/relationships/hyperlink" Id="rId10"/>
    <Relationship TargetMode="External" Target="https://www.legis.iowa.gov/docs/ico/chapter/17A.4A.pdf" Type="http://schemas.openxmlformats.org/officeDocument/2006/relationships/hyperlink" Id="rId11"/>
    <Relationship TargetMode="External" Target="https://www.legis.iowa.gov/docs/ico/chapter/17A.4A.pdf" Type="http://schemas.openxmlformats.org/officeDocument/2006/relationships/hyperlink" Id="rId12"/>
    <Relationship TargetMode="External" Target="https://www.legis.iowa.gov/docs/ico/chapter/17A.4A.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