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751—18.4</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 of proposed rule 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18.4(1)</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At least 35 days before the adoption of a rule the commission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Where inclusion of the complete text of a proposed rule in the Notice of Intended Action is impracticable, the commission shall include in the notice a statement fully describing the specific subject matter of the omitted portion of the text of the proposed rule, the specific issues to be addressed by that omitted text of the proposed rule, and the range of possible choices being considered by the commission for the resolution of each of those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18.4(2)</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applicable to the incorporation by reference of other materials in an adopted rule that are contained in </w:t>
      </w:r>
      <w:hyperlink r:id="rId4">
        <w:r>
          <w:rPr>
            <w:rStyle w:val="Hyperlink"/>
            <w:rFonts w:ascii="Times New Roman" w:hAnsi="Times New Roman"/>
            <w:b w:val="false"/>
            <w:i w:val="false"/>
            <w:color w:val="000000"/>
            <w:sz w:val="22"/>
          </w:rPr>
          <w:t>subrule 18.12(2)</w:t>
        </w:r>
      </w:hyperlink>
      <w:r>
        <w:rPr>
          <w:rFonts w:ascii="Times New Roman" w:hAnsi="Times New Roman"/>
          <w:b w:val="false"/>
          <w:i w:val="false"/>
          <w:color w:val="000000"/>
          <w:sz w:val="22"/>
        </w:rPr>
        <w:t xml:space="preserve">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18.4(3)</w:t>
      </w:r>
      <w:r>
        <w:rPr>
          <w:rFonts w:ascii="Times New Roman" w:hAnsi="Times New Roman"/>
          <w:b w:val="false"/>
          <w:i w:val="false"/>
          <w:color w:val="000000"/>
          <w:sz w:val="22"/>
        </w:rPr>
        <w:t> </w:t>
      </w:r>
      <w:r>
        <w:rPr>
          <w:rFonts w:ascii="Times New Roman" w:hAnsi="Times New Roman"/>
          <w:b w:val="false"/>
          <w:i/>
          <w:color w:val="000000"/>
          <w:sz w:val="22"/>
        </w:rPr>
        <w:t xml:space="preserve">Copies of notices. </w:t>
      </w:r>
      <w:r>
        <w:rPr>
          <w:rFonts w:ascii="Times New Roman" w:hAnsi="Times New Roman"/>
          <w:b w:val="false"/>
          <w:i w:val="false"/>
          <w:color w:val="000000"/>
          <w:sz w:val="22"/>
        </w:rPr>
        <w:t>Persons desiring to receive copies of future Notices of Intended Action by subscription must file with the commission a written request indicating the name and address to which such notices should be sent. Within seven days after submission of a Notice of Intended Action to the administrative rules coordinator for publication in the Iowa Administrative Bulletin, the commission shall mail or electronically transmit a copy of that notice to subscribers who have filed a written request for either mailing or electronic transmittal with the commission for Notices of Intended Action. The written request shall be accompanied by payment of the subscription price which may cover the full cost of the subscription service, including its administrative overhead and the cost of copying and mailing the Notices of Intended Action for a period of six months.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51.18.12.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