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commission may, before publication of a Notice of Intended Action under Iowa Code section </w:t>
      </w:r>
      <w:hyperlink r:id="rId4">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commission by causing notice to be published in the Iowa Administrative Bulletin of the subject matter and indicating where, when, and how persons may comment.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