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commission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commission, or political subdivision may submit a written request to the administrative rules coordinator requesting the commission to conduct a formal review of a specified rule. Upon approval of that request by the administrative rules coordinator, the commission shall conduct a formal review of a specified rule to determine whether a new rule should be adopted instead or the rule should be amended or repealed. The commission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commission shall prepare within a reasonable time a written report summarizing its findings, its supporting reasons, and any proposed course of action. The report must include a concise statement of the commission’s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commission or granted by the commission. The report shall describe alternative solutions to resolve the criticisms of the rule, the reasons any were rejected, and any changes made in the rule in response to the criticisms as well as the reasons for the changes. A copy of the commission’s report shall be sent to the administrative rules review committee and the administrative rules coordinator. The report must also be available for public inspection.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