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commission shall maintain an official, current, and dated compilation that is indexed by subject, containing all of its general statements of policy within the scope of Iowa Code section </w:t>
      </w:r>
      <w:hyperlink r:id="rId4">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5">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commission to the detriment of any person who does not have actual, timely knowledge of the contents of the statement until the requirements of </w:t>
      </w:r>
      <w:hyperlink r:id="rId6">
        <w:r>
          <w:rPr>
            <w:rStyle w:val="Hyperlink"/>
            <w:rFonts w:ascii="Times New Roman" w:hAnsi="Times New Roman"/>
            <w:b w:val="false"/>
            <w:i w:val="false"/>
            <w:color w:val="000000"/>
            <w:sz w:val="22"/>
          </w:rPr>
          <w:t>subrule 18.16(1)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751.18.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