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751—18.14</w:t>
      </w:r>
      <w:r>
        <w:rPr>
          <w:rFonts w:ascii="Times New Roman" w:hAnsi="Times New Roman"/>
          <w:b/>
          <w:i w:val="false"/>
          <w:color w:val="000000"/>
          <w:sz w:val="22"/>
        </w:rPr>
        <w:t xml:space="preserve">(17A) </w:t>
      </w:r>
      <w:r>
        <w:rPr>
          <w:rFonts w:ascii="Times New Roman" w:hAnsi="Times New Roman"/>
          <w:b/>
          <w:i w:val="false"/>
          <w:color w:val="000000"/>
          <w:sz w:val="22"/>
        </w:rPr>
        <w:t xml:space="preserve">Filing of rules. </w:t>
      </w:r>
      <w:r>
        <w:rPr>
          <w:rFonts w:ascii="Times New Roman" w:hAnsi="Times New Roman"/>
          <w:b w:val="false"/>
          <w:i w:val="false"/>
          <w:color w:val="000000"/>
          <w:sz w:val="22"/>
        </w:rPr>
        <w:t>The commission shall file each rule it adopts in the office of the administrative rules coordinator. The filing must be executed as soon after adoption of the rule as is practicable. At the time of filing, each rule must have attached to it any fiscal impact statement and any concise statement of reasons that was issued with respect to that rule. If a fiscal impact statement or statement of reasons for that rule was not issued until a time subsequent to the filing of that rule, the note or statement must be attached to the filed rule within five working days after the note or statement is issued. In filing a rule, the commission shall use the standard form prescribed by the administrative rules coordinator.</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