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751—18.13</w:t>
      </w:r>
      <w:r>
        <w:rPr>
          <w:rFonts w:ascii="Times New Roman" w:hAnsi="Times New Roman"/>
          <w:b/>
          <w:i w:val="false"/>
          <w:color w:val="000000"/>
          <w:sz w:val="22"/>
        </w:rPr>
        <w:t xml:space="preserve">(17A) </w:t>
      </w:r>
      <w:r>
        <w:rPr>
          <w:rFonts w:ascii="Times New Roman" w:hAnsi="Times New Roman"/>
          <w:b/>
          <w:i w:val="false"/>
          <w:color w:val="000000"/>
          <w:sz w:val="22"/>
        </w:rPr>
        <w:t xml:space="preserve">Commission rule-making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18.13(1)</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The commission shall maintain an official rule-making record for each rule it proposes by publication in the Iowa Administrative Bulletin of a Notice of Intended Action, or adopts. The rule-making record and materials incorporated by reference must be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18.13(2)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commission rule-making record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all publications in the Iowa Administrative Bulletin with respect to the rule or the proceeding upon which the rule is based and any file-stamped copies of commission submissions to the administrative rules coordinator concerning that rule or the proceeding upon which it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any portions of the commission’s public rule-making docket containing entries relating to the rule 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written petitions, requests, and submissions received by the commission, and all other written materials of a factual nature as distinguished from opinion that are relevant to the merits of the rule and that were created or compiled by the commission and considered by the Iowa telecommunications and technology commission, in connection with the formulation, proposal, or adoption of the rule or the proceeding upon which the rule is based, except to the extent the commission is authorized by law to keep them confidential; provided, however, that when any such materials are deleted because they are authorized by law to be kept confidential, the commission shall identify in the record the particular materials deleted and state the reasons for that deletion;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official transcript of oral presentations made in the proceeding upon which the rule is based or, if not transcribed, the stenographic record or electronic recording of those presentations, and any memorandum prepared by a presiding officer summarizing the contents of those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any regulatory analysis or fiscal impact statement prepared for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rule and any concise statement of reasons prepared for that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petitions for amendments of, or repeal or suspension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issuance of that rule without public notice and participation that was filed pursuant to Iowa Code section </w:t>
      </w:r>
      <w:hyperlink r:id="rId4">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by the administrative rules review committee, the governor, or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rule filed by the administrative rules review committee, the governor, or the attorney general pursuant to Iowa Code section </w:t>
      </w:r>
      <w:hyperlink r:id="rId5">
        <w:r>
          <w:rPr>
            <w:rStyle w:val="Hyperlink"/>
            <w:rFonts w:ascii="Times New Roman" w:hAnsi="Times New Roman"/>
            <w:b w:val="false"/>
            <w:i w:val="false"/>
            <w:color w:val="000000"/>
            <w:sz w:val="22"/>
          </w:rPr>
          <w:t>17A.4(4)</w:t>
        </w:r>
      </w:hyperlink>
      <w:r>
        <w:rPr>
          <w:rFonts w:ascii="Times New Roman" w:hAnsi="Times New Roman"/>
          <w:b w:val="false"/>
          <w:i w:val="false"/>
          <w:color w:val="000000"/>
          <w:sz w:val="22"/>
        </w:rPr>
        <w:t>, and any commission response to that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copy of any significant written criticism of the rule, including a summary of any petitions for waiver of the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copy of any executive order concerning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18.13(3)</w:t>
      </w:r>
      <w:r>
        <w:rPr>
          <w:rFonts w:ascii="Times New Roman" w:hAnsi="Times New Roman"/>
          <w:b w:val="false"/>
          <w:i w:val="false"/>
          <w:color w:val="000000"/>
          <w:sz w:val="22"/>
        </w:rPr>
        <w:t> </w:t>
      </w:r>
      <w:r>
        <w:rPr>
          <w:rFonts w:ascii="Times New Roman" w:hAnsi="Times New Roman"/>
          <w:b w:val="false"/>
          <w:i/>
          <w:color w:val="000000"/>
          <w:sz w:val="22"/>
        </w:rPr>
        <w:t xml:space="preserve">Effect of record. </w:t>
      </w:r>
      <w:r>
        <w:rPr>
          <w:rFonts w:ascii="Times New Roman" w:hAnsi="Times New Roman"/>
          <w:b w:val="false"/>
          <w:i w:val="false"/>
          <w:color w:val="000000"/>
          <w:sz w:val="22"/>
        </w:rPr>
        <w:t>Except as otherwise required by a provision of law, the commission rule-making record required by this rule need not constitute the exclusive basis for commission action on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18.13(4)</w:t>
      </w:r>
      <w:r>
        <w:rPr>
          <w:rFonts w:ascii="Times New Roman" w:hAnsi="Times New Roman"/>
          <w:b w:val="false"/>
          <w:i w:val="false"/>
          <w:color w:val="000000"/>
          <w:sz w:val="22"/>
        </w:rPr>
        <w:t> </w:t>
      </w:r>
      <w:r>
        <w:rPr>
          <w:rFonts w:ascii="Times New Roman" w:hAnsi="Times New Roman"/>
          <w:b w:val="false"/>
          <w:i/>
          <w:color w:val="000000"/>
          <w:sz w:val="22"/>
        </w:rPr>
        <w:t xml:space="preserve">Maintenance of record. </w:t>
      </w:r>
      <w:r>
        <w:rPr>
          <w:rFonts w:ascii="Times New Roman" w:hAnsi="Times New Roman"/>
          <w:b w:val="false"/>
          <w:i w:val="false"/>
          <w:color w:val="000000"/>
          <w:sz w:val="22"/>
        </w:rPr>
        <w:t xml:space="preserve">The commission shall maintain the rule-making record indefinitely from the later of the date the rule to which it pertains became effective, the date of the Notice of Intended Action, or the date of any written criticism as described in </w:t>
      </w:r>
      <w:hyperlink r:id="rId6">
        <w:r>
          <w:rPr>
            <w:rStyle w:val="Hyperlink"/>
            <w:rFonts w:ascii="Times New Roman" w:hAnsi="Times New Roman"/>
            <w:b w:val="false"/>
            <w:i w:val="false"/>
            <w:color w:val="000000"/>
            <w:sz w:val="22"/>
          </w:rPr>
          <w:t>18.13(2)</w:t>
        </w:r>
      </w:hyperlink>
      <w:r>
        <w:rPr>
          <w:rFonts w:ascii="Times New Roman" w:hAnsi="Times New Roman"/>
          <w:b w:val="false"/>
          <w:i/>
          <w:color w:val="000000"/>
          <w:sz w:val="22"/>
        </w:rPr>
        <w:t>“g,” “h,” “i,”</w:t>
      </w:r>
      <w:r>
        <w:rPr>
          <w:rFonts w:ascii="Times New Roman" w:hAnsi="Times New Roman"/>
          <w:b w:val="false"/>
          <w:i w:val="false"/>
          <w:color w:val="000000"/>
          <w:sz w:val="22"/>
        </w:rPr>
        <w:t xml:space="preserve"> or </w:t>
      </w:r>
      <w:r>
        <w:rPr>
          <w:rFonts w:ascii="Times New Roman" w:hAnsi="Times New Roman"/>
          <w:b w:val="false"/>
          <w:i/>
          <w:color w:val="000000"/>
          <w:sz w:val="22"/>
        </w:rPr>
        <w:t>“j.”</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4.pdf" Type="http://schemas.openxmlformats.org/officeDocument/2006/relationships/hyperlink" Id="rId4"/>
    <Relationship TargetMode="External" Target="https://www.legis.iowa.gov/docs/ico/chapter/17A.4.pdf" Type="http://schemas.openxmlformats.org/officeDocument/2006/relationships/hyperlink" Id="rId5"/>
    <Relationship TargetMode="External" Target="https://www.legis.iowa.gov/docs/iac/rule/751.18.13.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