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or if the commission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or the commission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commission may incorporate, by reference in a proposed or adopted rule, and without causing publication of the incorporated matter in full, all or any part of a code, standard, rule, or other matter if the commission finds that the incorporation of its text in the commission proposed or adopted rule would be unduly cumbersome, expensive, or otherwise inexpedient. The reference in the commission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commission may incorporate such matter by reference in a proposed or adopted rule only if the commission makes copies of it readily available to the public. The rule shall state how and where copies of the incorporated matter may be obtained at cost from this commission, and how and where copies may be obtained from an agency of the United States, this state, another state, or the organization, association, or persons, originally issuing that matter. The commission shall retain permanently a copy of any materials incorporated by reference in a rule of the commission.</w:t>
      </w:r>
    </w:p>
    <w:p>
      <w:pPr>
        <w:spacing w:before="0" w:after="0"/>
        <w:ind w:left="120"/>
        <w:jc w:val="both"/>
      </w:pPr>
      <w:r>
        <w:rPr>
          <w:rFonts w:ascii="Times New Roman" w:hAnsi="Times New Roman"/>
          <w:b w:val="false"/>
          <w:i w:val="false"/>
          <w:color w:val="000000"/>
          <w:sz w:val="22"/>
        </w:rPr>
        <w:t>If the commission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commission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commission. The commission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commission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commission shall follow the uniform numbering system, form, and style prescribed by the administrative rules coordinator.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