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commission shall issue a concise statement of reasons for the rule. Requests for such a statement must be in writing and be delivered to the executive director of the commission at the ICN main office location as listed in </w:t>
      </w:r>
      <w:hyperlink r:id="rId4">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commission’s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commission shall issue a concise statement of reasons by the later of the time the rule is adopted or 35 days after receipt of the request.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