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751—18.10</w:t>
      </w:r>
      <w:r>
        <w:rPr>
          <w:rFonts w:ascii="Times New Roman" w:hAnsi="Times New Roman"/>
          <w:b/>
          <w:i w:val="false"/>
          <w:color w:val="000000"/>
          <w:sz w:val="22"/>
        </w:rPr>
        <w:t xml:space="preserve">(17A) </w:t>
      </w:r>
      <w:r>
        <w:rPr>
          <w:rFonts w:ascii="Times New Roman" w:hAnsi="Times New Roman"/>
          <w:b/>
          <w:i w:val="false"/>
          <w:color w:val="000000"/>
          <w:sz w:val="22"/>
        </w:rPr>
        <w:t xml:space="preserve">Exemptions from public rule-making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18.10(1)</w:t>
      </w:r>
      <w:r>
        <w:rPr>
          <w:rFonts w:ascii="Times New Roman" w:hAnsi="Times New Roman"/>
          <w:b w:val="false"/>
          <w:i w:val="false"/>
          <w:color w:val="000000"/>
          <w:sz w:val="22"/>
        </w:rPr>
        <w:t> </w:t>
      </w:r>
      <w:r>
        <w:rPr>
          <w:rFonts w:ascii="Times New Roman" w:hAnsi="Times New Roman"/>
          <w:b w:val="false"/>
          <w:i/>
          <w:color w:val="000000"/>
          <w:sz w:val="22"/>
        </w:rPr>
        <w:t xml:space="preserve">Omission of notice and comment. </w:t>
      </w:r>
      <w:r>
        <w:rPr>
          <w:rFonts w:ascii="Times New Roman" w:hAnsi="Times New Roman"/>
          <w:b w:val="false"/>
          <w:i w:val="false"/>
          <w:color w:val="000000"/>
          <w:sz w:val="22"/>
        </w:rPr>
        <w:t>To the extent the commission for good cause finds that public notice and participation are unnecessary, impracticable, or contrary to the public interest in the process of adopting a particular rule, the commission may adopt that rule without publishing advance Notice of Intended Action in the Iowa Administrative Bulletin and without providing for written or oral public submissions prior to its adoption. The commission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18.10(2)</w:t>
      </w:r>
      <w:r>
        <w:rPr>
          <w:rFonts w:ascii="Times New Roman" w:hAnsi="Times New Roman"/>
          <w:b w:val="false"/>
          <w:i w:val="false"/>
          <w:color w:val="000000"/>
          <w:sz w:val="22"/>
        </w:rPr>
        <w:t> </w:t>
      </w:r>
      <w:r>
        <w:rPr>
          <w:rFonts w:ascii="Times New Roman" w:hAnsi="Times New Roman"/>
          <w:b w:val="false"/>
          <w:i/>
          <w:color w:val="000000"/>
          <w:sz w:val="22"/>
        </w:rPr>
        <w:t xml:space="preserve">Categories exempt. </w:t>
      </w:r>
      <w:r>
        <w:rPr>
          <w:rFonts w:ascii="Times New Roman" w:hAnsi="Times New Roman"/>
          <w:b w:val="false"/>
          <w:i w:val="false"/>
          <w:color w:val="000000"/>
          <w:sz w:val="22"/>
        </w:rPr>
        <w:t>The following narrowly tailored categories of rules are exempted from the usual public notice and participation requirements because those requirements are unnecessary, impracticable, or contrary to the public interest with respect to each and every member of the defined class: no categories exempt.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18.10(3)</w:t>
      </w:r>
      <w:r>
        <w:rPr>
          <w:rFonts w:ascii="Times New Roman" w:hAnsi="Times New Roman"/>
          <w:b w:val="false"/>
          <w:i w:val="false"/>
          <w:color w:val="000000"/>
          <w:sz w:val="22"/>
        </w:rPr>
        <w:t> </w:t>
      </w:r>
      <w:r>
        <w:rPr>
          <w:rFonts w:ascii="Times New Roman" w:hAnsi="Times New Roman"/>
          <w:b w:val="false"/>
          <w:i/>
          <w:color w:val="000000"/>
          <w:sz w:val="22"/>
        </w:rPr>
        <w:t xml:space="preserve">Public proceedings on rules adopted without them. </w:t>
      </w:r>
      <w:r>
        <w:rPr>
          <w:rFonts w:ascii="Times New Roman" w:hAnsi="Times New Roman"/>
          <w:b w:val="false"/>
          <w:i w:val="false"/>
          <w:color w:val="000000"/>
          <w:sz w:val="22"/>
        </w:rPr>
        <w:t xml:space="preserve">The commission may, at any time, commence a standard rule-making proceeding for the adoption of a rule that is identical or similar to a rule it adopts in reliance upon </w:t>
      </w:r>
      <w:hyperlink r:id="rId4">
        <w:r>
          <w:rPr>
            <w:rStyle w:val="Hyperlink"/>
            <w:rFonts w:ascii="Times New Roman" w:hAnsi="Times New Roman"/>
            <w:b w:val="false"/>
            <w:i w:val="false"/>
            <w:color w:val="000000"/>
            <w:sz w:val="22"/>
          </w:rPr>
          <w:t>subrule 18.10(1)</w:t>
        </w:r>
      </w:hyperlink>
      <w:r>
        <w:rPr>
          <w:rFonts w:ascii="Times New Roman" w:hAnsi="Times New Roman"/>
          <w:b w:val="false"/>
          <w:i w:val="false"/>
          <w:color w:val="000000"/>
          <w:sz w:val="22"/>
        </w:rPr>
        <w:t xml:space="preserve">. Upon written petition by a governmental subdivision, the administrative rules review committee, the administrative rules coordinator, an association having not less than 25 members, or at least 25 persons, the commission shall commence a standard rule-making proceeding for any rule specified in the petition that was adopted in reliance upon </w:t>
      </w:r>
      <w:hyperlink r:id="rId5">
        <w:r>
          <w:rPr>
            <w:rStyle w:val="Hyperlink"/>
            <w:rFonts w:ascii="Times New Roman" w:hAnsi="Times New Roman"/>
            <w:b w:val="false"/>
            <w:i w:val="false"/>
            <w:color w:val="000000"/>
            <w:sz w:val="22"/>
          </w:rPr>
          <w:t>subrule 18.10(1)</w:t>
        </w:r>
      </w:hyperlink>
      <w:r>
        <w:rPr>
          <w:rFonts w:ascii="Times New Roman" w:hAnsi="Times New Roman"/>
          <w:b w:val="false"/>
          <w:i w:val="false"/>
          <w:color w:val="000000"/>
          <w:sz w:val="22"/>
        </w:rPr>
        <w:t xml:space="preserve">. Such a petition must be filed within one year of the publication of the specified rule in the Iowa Administrative Bulletin as an adopted rule. The rule-making proceeding on that rule must be commenced within 60 days of the receipt of such a petition. After a standard rule-making proceeding commenced pursuant to this subrule, the commission may either readopt the rule it adopted without benefit of all usual procedures on the basis of </w:t>
      </w:r>
      <w:hyperlink r:id="rId6">
        <w:r>
          <w:rPr>
            <w:rStyle w:val="Hyperlink"/>
            <w:rFonts w:ascii="Times New Roman" w:hAnsi="Times New Roman"/>
            <w:b w:val="false"/>
            <w:i w:val="false"/>
            <w:color w:val="000000"/>
            <w:sz w:val="22"/>
          </w:rPr>
          <w:t>subrule 18.10(1)</w:t>
        </w:r>
      </w:hyperlink>
      <w:r>
        <w:rPr>
          <w:rFonts w:ascii="Times New Roman" w:hAnsi="Times New Roman"/>
          <w:b w:val="false"/>
          <w:i w:val="false"/>
          <w:color w:val="000000"/>
          <w:sz w:val="22"/>
        </w:rPr>
        <w:t>, or may take any other lawful action, including the amendment or repeal of the rule in question, with whatever further proceedings are appropriate.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51.18.10.pdf" Type="http://schemas.openxmlformats.org/officeDocument/2006/relationships/hyperlink" Id="rId4"/>
    <Relationship TargetMode="External" Target="https://www.legis.iowa.gov/docs/iac/rule/751.18.10.pdf" Type="http://schemas.openxmlformats.org/officeDocument/2006/relationships/hyperlink" Id="rId5"/>
    <Relationship TargetMode="External" Target="https://www.legis.iowa.gov/docs/iac/rule/751.18.10.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