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gif" PartName="/word/media/document_image_rId5.gif"/>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721—21.820</w:t>
      </w:r>
      <w:r>
        <w:rPr>
          <w:rFonts w:ascii="Times New Roman" w:hAnsi="Times New Roman"/>
          <w:b/>
          <w:i w:val="false"/>
          <w:color w:val="000000"/>
          <w:sz w:val="22"/>
        </w:rPr>
        <w:t xml:space="preserve">(99F) </w:t>
      </w:r>
      <w:r>
        <w:rPr>
          <w:rFonts w:ascii="Times New Roman" w:hAnsi="Times New Roman"/>
          <w:b/>
          <w:i w:val="false"/>
          <w:color w:val="000000"/>
          <w:sz w:val="22"/>
        </w:rPr>
        <w:t xml:space="preserve">Gambling elections.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21.820(1)</w:t>
      </w:r>
      <w:r>
        <w:rPr>
          <w:rFonts w:ascii="Times New Roman" w:hAnsi="Times New Roman"/>
          <w:b w:val="false"/>
          <w:i w:val="false"/>
          <w:color w:val="000000"/>
          <w:sz w:val="22"/>
        </w:rPr>
        <w:t> </w:t>
      </w:r>
      <w:r>
        <w:rPr>
          <w:rFonts w:ascii="Times New Roman" w:hAnsi="Times New Roman"/>
          <w:b w:val="false"/>
          <w:i w:val="false"/>
          <w:color w:val="000000"/>
          <w:sz w:val="22"/>
        </w:rPr>
        <w:t>Petitions requesting elections to approve or disapprove the conduct of gambling games on an excursion gambling boat or at a gambling structure shall be filed with the county board of supervisors and shall be substantially in the form posted on the state commissioner’s website titled “Petition Requesting Special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10 days after receipt of a valid petition, the supervisors shall provide written notice to the county commissioner of elections directing the commissioner to submit to the qualified electors of the county a proposition to approve or disapprove the conduct of gambling games on an excursion gambling boat or at a gambling structure in the county. The election shall be held on the next possible special election date pursuant to Iowa Code section </w:t>
      </w:r>
      <w:hyperlink r:id="rId4">
        <w:r>
          <w:rPr>
            <w:rStyle w:val="Hyperlink"/>
            <w:rFonts w:ascii="Times New Roman" w:hAnsi="Times New Roman"/>
            <w:b w:val="false"/>
            <w:i w:val="false"/>
            <w:color w:val="000000"/>
            <w:sz w:val="22"/>
          </w:rPr>
          <w:t>39.2, subsection 4, paragraph </w:t>
        </w:r>
        <w:r>
          <w:rPr>
            <w:rFonts w:ascii="Times New Roman" w:hAnsi="Times New Roman"/>
            <w:b w:val="false"/>
            <w:i/>
            <w:color w:val="000000"/>
            <w:sz w:val="22"/>
          </w:rPr>
          <w:t>“a,”</w:t>
        </w:r>
      </w:hyperlink>
      <w:r>
        <w:rPr>
          <w:rFonts w:ascii="Times New Roman" w:hAnsi="Times New Roman"/>
          <w:b w:val="false"/>
          <w:i w:val="false"/>
          <w:color w:val="000000"/>
          <w:sz w:val="22"/>
        </w:rPr>
        <w:t xml:space="preserve"> but no fewer than 46 days from the date notice is given to the county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regularly scheduled or special election is to be held in the county on the date selected by the supervisors, notice shall be given to the commissioner no later than the last day upon which nomination papers may be filed for that election. If the excursion gambling boat or the gambling structure election is to be held with a local option tax election, the supervisors shall provide the commissioner at least 60 days’ written notice. Otherwise, the supervisors shall give at least 46 days’ written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21.820(2)</w:t>
      </w:r>
      <w:r>
        <w:rPr>
          <w:rFonts w:ascii="Times New Roman" w:hAnsi="Times New Roman"/>
          <w:b w:val="false"/>
          <w:i w:val="false"/>
          <w:color w:val="000000"/>
          <w:sz w:val="22"/>
        </w:rPr>
        <w:t> </w:t>
      </w:r>
      <w:r>
        <w:rPr>
          <w:rFonts w:ascii="Times New Roman" w:hAnsi="Times New Roman"/>
          <w:b w:val="false"/>
          <w:i w:val="false"/>
          <w:color w:val="000000"/>
          <w:sz w:val="22"/>
        </w:rPr>
        <w:t>Form of ballot for election called by petition. Ballots shall be in substantially the following form:</w:t>
      </w:r>
    </w:p>
    <w:p>
      <w:pPr>
        <w:spacing w:before="0" w:after="0"/>
        <w:ind w:left="120"/>
        <w:jc w:val="center"/>
      </w:pPr>
      <w:r>
        <w:rPr>
          <w:rFonts w:ascii="Times New Roman" w:hAnsi="Times New Roman"/>
          <w:b w:val="false"/>
          <w:i w:val="false"/>
          <w:color w:val="000000"/>
          <w:sz w:val="22"/>
        </w:rPr>
        <w:t>(Insert letter to be assigned by the commissioner)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Shall the following public measure be adopted?</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5595"/>
        <w:gridCol w:w="5595"/>
      </w:tblGrid>
      <w:tr>
        <w:trPr>
          <w:trHeight w:val="270" w:hRule="atLeast"/>
        </w:trPr>
        <w:tc>
          <w:tcPr>
            <w:tcW w:w="5595" w:type="dxa"/>
            <w:tcBorders/>
            <w:tcMar>
              <w:top w:w="30" w:type="dxa"/>
              <w:left w:w="30" w:type="dxa"/>
              <w:bottom w:w="15" w:type="dxa"/>
              <w:right w:w="30" w:type="dxa"/>
            </w:tcMar>
            <w:vAlign w:val="top"/>
          </w:tcPr>
          <w:p>
            <w:pPr>
              <w:spacing w:before="0" w:after="0"/>
              <w:ind w:left="160"/>
              <w:jc w:val="left"/>
            </w:pPr>
            <w:r>
              <w:drawing>
                <wp:inline distT="0" distB="0" distL="0" distR="0">
                  <wp:extent cx="342900" cy="114300"/>
                  <wp:effectExtent l="0" t="0" r="0" b="0"/>
                  <wp:docPr id="2" name="" descr=""/>
                  <wp:cNvGraphicFramePr>
                    <a:graphicFrameLocks noChangeAspect="true"/>
                  </wp:cNvGraphicFramePr>
                  <a:graphic>
                    <a:graphicData uri="http://schemas.openxmlformats.org/drawingml/2006/picture">
                      <pic:pic>
                        <pic:nvPicPr>
                          <pic:cNvPr id="1" name=""/>
                          <pic:cNvPicPr/>
                        </pic:nvPicPr>
                        <pic:blipFill>
                          <a:blip r:embed="rId5"/>
                          <a:stretch>
                            <a:fillRect/>
                          </a:stretch>
                        </pic:blipFill>
                        <pic:spPr>
                          <a:xfrm>
                            <a:off x="0" y="0"/>
                            <a:ext cx="342900" cy="114300"/>
                          </a:xfrm>
                          <a:prstGeom prst="rect">
                            <a:avLst/>
                          </a:prstGeom>
                        </pic:spPr>
                      </pic:pic>
                    </a:graphicData>
                  </a:graphic>
                </wp:inline>
              </w:drawing>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YES</w:t>
            </w:r>
          </w:p>
        </w:tc>
      </w:tr>
      <w:tr>
        <w:trPr>
          <w:trHeight w:val="270" w:hRule="atLeast"/>
        </w:trPr>
        <w:tc>
          <w:tcPr>
            <w:tcW w:w="5595" w:type="dxa"/>
            <w:tcBorders/>
            <w:tcMar>
              <w:top w:w="30" w:type="dxa"/>
              <w:left w:w="30" w:type="dxa"/>
              <w:bottom w:w="15" w:type="dxa"/>
              <w:right w:w="30" w:type="dxa"/>
            </w:tcMar>
            <w:vAlign w:val="top"/>
          </w:tcPr>
          <w:p>
            <w:pPr>
              <w:spacing w:before="0" w:after="0"/>
              <w:ind w:left="160"/>
              <w:jc w:val="left"/>
            </w:pPr>
            <w:r>
              <w:drawing>
                <wp:inline distT="0" distB="0" distL="0" distR="0">
                  <wp:extent cx="342900" cy="114300"/>
                  <wp:effectExtent l="0" t="0" r="0" b="0"/>
                  <wp:docPr id="3" name="" descr=""/>
                  <wp:cNvGraphicFramePr>
                    <a:graphicFrameLocks noChangeAspect="true"/>
                  </wp:cNvGraphicFramePr>
                  <a:graphic>
                    <a:graphicData uri="http://schemas.openxmlformats.org/drawingml/2006/picture">
                      <pic:pic>
                        <pic:nvPicPr>
                          <pic:cNvPr id="1" name=""/>
                          <pic:cNvPicPr/>
                        </pic:nvPicPr>
                        <pic:blipFill>
                          <a:blip r:embed="rId5"/>
                          <a:stretch>
                            <a:fillRect/>
                          </a:stretch>
                        </pic:blipFill>
                        <pic:spPr>
                          <a:xfrm>
                            <a:off x="0" y="0"/>
                            <a:ext cx="342900" cy="114300"/>
                          </a:xfrm>
                          <a:prstGeom prst="rect">
                            <a:avLst/>
                          </a:prstGeom>
                        </pic:spPr>
                      </pic:pic>
                    </a:graphicData>
                  </a:graphic>
                </wp:inline>
              </w:drawing>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w:t>
            </w:r>
          </w:p>
        </w:tc>
      </w:tr>
    </w:tbl>
    <w:p>
      <w:pPr>
        <w:spacing w:before="0" w:after="0"/>
        <w:ind w:left="120"/>
        <w:jc w:val="both"/>
      </w:pPr>
      <w:r>
        <w:rPr>
          <w:rFonts w:ascii="Times New Roman" w:hAnsi="Times New Roman"/>
          <w:b w:val="false"/>
          <w:i w:val="false"/>
          <w:color w:val="000000"/>
          <w:sz w:val="22"/>
        </w:rPr>
        <w:t>Gambling games on an excursion gambling boat or at a gambling structure in _______________ County are approved.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21.820(3)</w:t>
      </w:r>
      <w:r>
        <w:rPr>
          <w:rFonts w:ascii="Times New Roman" w:hAnsi="Times New Roman"/>
          <w:b w:val="false"/>
          <w:i w:val="false"/>
          <w:color w:val="000000"/>
          <w:sz w:val="22"/>
        </w:rPr>
        <w:t> </w:t>
      </w:r>
      <w:r>
        <w:rPr>
          <w:rFonts w:ascii="Times New Roman" w:hAnsi="Times New Roman"/>
          <w:b w:val="false"/>
          <w:i w:val="false"/>
          <w:color w:val="000000"/>
          <w:sz w:val="22"/>
        </w:rPr>
        <w:t>Form of ballot for elections to continue gambling games on an excursion gambling boat or at a gambling structure:</w:t>
      </w:r>
    </w:p>
    <w:p>
      <w:pPr>
        <w:spacing w:before="0" w:after="0"/>
        <w:ind w:left="120"/>
        <w:jc w:val="center"/>
      </w:pPr>
      <w:r>
        <w:rPr>
          <w:rFonts w:ascii="Times New Roman" w:hAnsi="Times New Roman"/>
          <w:b w:val="false"/>
          <w:i w:val="false"/>
          <w:color w:val="000000"/>
          <w:sz w:val="22"/>
        </w:rPr>
        <w:t>(Insert letter to be assigned by the commissioner)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Shall the following public measure be adopted?</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5595"/>
        <w:gridCol w:w="5595"/>
      </w:tblGrid>
      <w:tr>
        <w:trPr>
          <w:trHeight w:val="270" w:hRule="atLeast"/>
        </w:trPr>
        <w:tc>
          <w:tcPr>
            <w:tcW w:w="5595" w:type="dxa"/>
            <w:tcBorders/>
            <w:tcMar>
              <w:top w:w="30" w:type="dxa"/>
              <w:left w:w="30" w:type="dxa"/>
              <w:bottom w:w="15" w:type="dxa"/>
              <w:right w:w="30" w:type="dxa"/>
            </w:tcMar>
            <w:vAlign w:val="top"/>
          </w:tcPr>
          <w:p>
            <w:pPr>
              <w:spacing w:before="0" w:after="0"/>
              <w:ind w:left="160"/>
              <w:jc w:val="left"/>
            </w:pPr>
            <w:r>
              <w:drawing>
                <wp:inline distT="0" distB="0" distL="0" distR="0">
                  <wp:extent cx="342900" cy="114300"/>
                  <wp:effectExtent l="0" t="0" r="0" b="0"/>
                  <wp:docPr id="4" name="" descr=""/>
                  <wp:cNvGraphicFramePr>
                    <a:graphicFrameLocks noChangeAspect="true"/>
                  </wp:cNvGraphicFramePr>
                  <a:graphic>
                    <a:graphicData uri="http://schemas.openxmlformats.org/drawingml/2006/picture">
                      <pic:pic>
                        <pic:nvPicPr>
                          <pic:cNvPr id="1" name=""/>
                          <pic:cNvPicPr/>
                        </pic:nvPicPr>
                        <pic:blipFill>
                          <a:blip r:embed="rId5"/>
                          <a:stretch>
                            <a:fillRect/>
                          </a:stretch>
                        </pic:blipFill>
                        <pic:spPr>
                          <a:xfrm>
                            <a:off x="0" y="0"/>
                            <a:ext cx="342900" cy="114300"/>
                          </a:xfrm>
                          <a:prstGeom prst="rect">
                            <a:avLst/>
                          </a:prstGeom>
                        </pic:spPr>
                      </pic:pic>
                    </a:graphicData>
                  </a:graphic>
                </wp:inline>
              </w:drawing>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YES</w:t>
            </w:r>
          </w:p>
        </w:tc>
      </w:tr>
      <w:tr>
        <w:trPr>
          <w:trHeight w:val="270" w:hRule="atLeast"/>
        </w:trPr>
        <w:tc>
          <w:tcPr>
            <w:tcW w:w="5595" w:type="dxa"/>
            <w:tcBorders/>
            <w:tcMar>
              <w:top w:w="30" w:type="dxa"/>
              <w:left w:w="30" w:type="dxa"/>
              <w:bottom w:w="15" w:type="dxa"/>
              <w:right w:w="30" w:type="dxa"/>
            </w:tcMar>
            <w:vAlign w:val="top"/>
          </w:tcPr>
          <w:p>
            <w:pPr>
              <w:spacing w:before="0" w:after="0"/>
              <w:ind w:left="160"/>
              <w:jc w:val="left"/>
            </w:pPr>
            <w:r>
              <w:drawing>
                <wp:inline distT="0" distB="0" distL="0" distR="0">
                  <wp:extent cx="342900" cy="114300"/>
                  <wp:effectExtent l="0" t="0" r="0" b="0"/>
                  <wp:docPr id="5" name="" descr=""/>
                  <wp:cNvGraphicFramePr>
                    <a:graphicFrameLocks noChangeAspect="true"/>
                  </wp:cNvGraphicFramePr>
                  <a:graphic>
                    <a:graphicData uri="http://schemas.openxmlformats.org/drawingml/2006/picture">
                      <pic:pic>
                        <pic:nvPicPr>
                          <pic:cNvPr id="1" name=""/>
                          <pic:cNvPicPr/>
                        </pic:nvPicPr>
                        <pic:blipFill>
                          <a:blip r:embed="rId5"/>
                          <a:stretch>
                            <a:fillRect/>
                          </a:stretch>
                        </pic:blipFill>
                        <pic:spPr>
                          <a:xfrm>
                            <a:off x="0" y="0"/>
                            <a:ext cx="342900" cy="114300"/>
                          </a:xfrm>
                          <a:prstGeom prst="rect">
                            <a:avLst/>
                          </a:prstGeom>
                        </pic:spPr>
                      </pic:pic>
                    </a:graphicData>
                  </a:graphic>
                </wp:inline>
              </w:drawing>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w:t>
            </w:r>
          </w:p>
        </w:tc>
      </w:tr>
    </w:tbl>
    <w:p>
      <w:pPr>
        <w:spacing w:before="0" w:after="0"/>
        <w:ind w:left="120"/>
        <w:jc w:val="both"/>
      </w:pPr>
      <w:r>
        <w:rPr>
          <w:rFonts w:ascii="Times New Roman" w:hAnsi="Times New Roman"/>
          <w:b w:val="false"/>
          <w:i w:val="false"/>
          <w:color w:val="000000"/>
          <w:sz w:val="22"/>
        </w:rPr>
        <w:t>Summary: Gambling games on an excursion gambling boat or at a gambling structure in _______________ County are approved.</w:t>
      </w:r>
    </w:p>
    <w:p>
      <w:pPr>
        <w:spacing w:before="0" w:after="0"/>
        <w:ind w:left="120"/>
        <w:jc w:val="both"/>
      </w:pPr>
      <w:r>
        <w:rPr>
          <w:rFonts w:ascii="Times New Roman" w:hAnsi="Times New Roman"/>
          <w:b w:val="false"/>
          <w:i w:val="false"/>
          <w:color w:val="000000"/>
          <w:sz w:val="22"/>
        </w:rPr>
        <w:t xml:space="preserve">Gambling games, with no wager or loss limits, on an excursion gambling boat or at a gambling structure in _______________ County are approved. If approved by a majority of the voters, operation of gambling games with no wager or loss limits may continue until the question is voted upon again at the general election held in 2010. If disapproved by a majority of the voters, the operation of gambling games on an excursion gambling boat or at a gambling structure will end within 60 days of this election. (Iowa Code section </w:t>
      </w:r>
      <w:hyperlink r:id="rId6">
        <w:r>
          <w:rPr>
            <w:rStyle w:val="Hyperlink"/>
            <w:rFonts w:ascii="Times New Roman" w:hAnsi="Times New Roman"/>
            <w:b w:val="false"/>
            <w:i w:val="false"/>
            <w:color w:val="000000"/>
            <w:sz w:val="22"/>
          </w:rPr>
          <w:t>99F.7(10)</w:t>
        </w:r>
      </w:hyperlink>
      <w:r>
        <w:rPr>
          <w:rFonts w:ascii="Times New Roman" w:hAnsi="Times New Roman"/>
          <w:b w:val="false"/>
          <w:i/>
          <w:color w:val="000000"/>
          <w:sz w:val="22"/>
        </w:rPr>
        <w:t>“c”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21.820(4)</w:t>
      </w:r>
      <w:r>
        <w:rPr>
          <w:rFonts w:ascii="Times New Roman" w:hAnsi="Times New Roman"/>
          <w:b w:val="false"/>
          <w:i w:val="false"/>
          <w:color w:val="000000"/>
          <w:sz w:val="22"/>
        </w:rPr>
        <w:t> </w:t>
      </w:r>
      <w:r>
        <w:rPr>
          <w:rFonts w:ascii="Times New Roman" w:hAnsi="Times New Roman"/>
          <w:b w:val="false"/>
          <w:i w:val="false"/>
          <w:color w:val="000000"/>
          <w:sz w:val="22"/>
        </w:rPr>
        <w:t>Ballot form to permit gambling games at existing pari-mutuel racetracks:</w:t>
      </w:r>
    </w:p>
    <w:p>
      <w:pPr>
        <w:spacing w:before="0" w:after="0"/>
        <w:ind w:left="120"/>
        <w:jc w:val="center"/>
      </w:pPr>
      <w:r>
        <w:rPr>
          <w:rFonts w:ascii="Times New Roman" w:hAnsi="Times New Roman"/>
          <w:b w:val="false"/>
          <w:i w:val="false"/>
          <w:color w:val="000000"/>
          <w:sz w:val="22"/>
        </w:rPr>
        <w:t>(Insert letter to be assigned by the commissioner)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Shall the following public measure be adopted?</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5595"/>
        <w:gridCol w:w="5595"/>
      </w:tblGrid>
      <w:tr>
        <w:trPr>
          <w:trHeight w:val="270" w:hRule="atLeast"/>
        </w:trPr>
        <w:tc>
          <w:tcPr>
            <w:tcW w:w="5595" w:type="dxa"/>
            <w:tcBorders/>
            <w:tcMar>
              <w:top w:w="30" w:type="dxa"/>
              <w:left w:w="30" w:type="dxa"/>
              <w:bottom w:w="15" w:type="dxa"/>
              <w:right w:w="30" w:type="dxa"/>
            </w:tcMar>
            <w:vAlign w:val="top"/>
          </w:tcPr>
          <w:p>
            <w:pPr>
              <w:spacing w:before="0" w:after="0"/>
              <w:ind w:left="160"/>
              <w:jc w:val="left"/>
            </w:pPr>
            <w:r>
              <w:drawing>
                <wp:inline distT="0" distB="0" distL="0" distR="0">
                  <wp:extent cx="342900" cy="114300"/>
                  <wp:effectExtent l="0" t="0" r="0" b="0"/>
                  <wp:docPr id="6" name="" descr=""/>
                  <wp:cNvGraphicFramePr>
                    <a:graphicFrameLocks noChangeAspect="true"/>
                  </wp:cNvGraphicFramePr>
                  <a:graphic>
                    <a:graphicData uri="http://schemas.openxmlformats.org/drawingml/2006/picture">
                      <pic:pic>
                        <pic:nvPicPr>
                          <pic:cNvPr id="1" name=""/>
                          <pic:cNvPicPr/>
                        </pic:nvPicPr>
                        <pic:blipFill>
                          <a:blip r:embed="rId5"/>
                          <a:stretch>
                            <a:fillRect/>
                          </a:stretch>
                        </pic:blipFill>
                        <pic:spPr>
                          <a:xfrm>
                            <a:off x="0" y="0"/>
                            <a:ext cx="342900" cy="114300"/>
                          </a:xfrm>
                          <a:prstGeom prst="rect">
                            <a:avLst/>
                          </a:prstGeom>
                        </pic:spPr>
                      </pic:pic>
                    </a:graphicData>
                  </a:graphic>
                </wp:inline>
              </w:drawing>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YES</w:t>
            </w:r>
          </w:p>
        </w:tc>
      </w:tr>
      <w:tr>
        <w:trPr>
          <w:trHeight w:val="270" w:hRule="atLeast"/>
        </w:trPr>
        <w:tc>
          <w:tcPr>
            <w:tcW w:w="5595" w:type="dxa"/>
            <w:tcBorders/>
            <w:tcMar>
              <w:top w:w="30" w:type="dxa"/>
              <w:left w:w="30" w:type="dxa"/>
              <w:bottom w:w="15" w:type="dxa"/>
              <w:right w:w="30" w:type="dxa"/>
            </w:tcMar>
            <w:vAlign w:val="top"/>
          </w:tcPr>
          <w:p>
            <w:pPr>
              <w:spacing w:before="0" w:after="0"/>
              <w:ind w:left="160"/>
              <w:jc w:val="left"/>
            </w:pPr>
            <w:r>
              <w:drawing>
                <wp:inline distT="0" distB="0" distL="0" distR="0">
                  <wp:extent cx="342900" cy="114300"/>
                  <wp:effectExtent l="0" t="0" r="0" b="0"/>
                  <wp:docPr id="7" name="" descr=""/>
                  <wp:cNvGraphicFramePr>
                    <a:graphicFrameLocks noChangeAspect="true"/>
                  </wp:cNvGraphicFramePr>
                  <a:graphic>
                    <a:graphicData uri="http://schemas.openxmlformats.org/drawingml/2006/picture">
                      <pic:pic>
                        <pic:nvPicPr>
                          <pic:cNvPr id="1" name=""/>
                          <pic:cNvPicPr/>
                        </pic:nvPicPr>
                        <pic:blipFill>
                          <a:blip r:embed="rId5"/>
                          <a:stretch>
                            <a:fillRect/>
                          </a:stretch>
                        </pic:blipFill>
                        <pic:spPr>
                          <a:xfrm>
                            <a:off x="0" y="0"/>
                            <a:ext cx="342900" cy="114300"/>
                          </a:xfrm>
                          <a:prstGeom prst="rect">
                            <a:avLst/>
                          </a:prstGeom>
                        </pic:spPr>
                      </pic:pic>
                    </a:graphicData>
                  </a:graphic>
                </wp:inline>
              </w:drawing>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w:t>
            </w:r>
          </w:p>
        </w:tc>
      </w:tr>
    </w:tbl>
    <w:p>
      <w:pPr>
        <w:spacing w:before="0" w:after="0"/>
        <w:ind w:left="120"/>
        <w:jc w:val="both"/>
      </w:pPr>
      <w:r>
        <w:rPr>
          <w:rFonts w:ascii="Times New Roman" w:hAnsi="Times New Roman"/>
          <w:b w:val="false"/>
          <w:i w:val="false"/>
          <w:color w:val="000000"/>
          <w:sz w:val="22"/>
        </w:rPr>
        <w:t>The operation of gambling games at (name of pari-mutuel racetrack) in _______________ County is approved.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21.820(5)</w:t>
      </w:r>
      <w:r>
        <w:rPr>
          <w:rFonts w:ascii="Times New Roman" w:hAnsi="Times New Roman"/>
          <w:b w:val="false"/>
          <w:i w:val="false"/>
          <w:color w:val="000000"/>
          <w:sz w:val="22"/>
        </w:rPr>
        <w:t> </w:t>
      </w:r>
      <w:r>
        <w:rPr>
          <w:rFonts w:ascii="Times New Roman" w:hAnsi="Times New Roman"/>
          <w:b w:val="false"/>
          <w:i w:val="false"/>
          <w:color w:val="000000"/>
          <w:sz w:val="22"/>
        </w:rPr>
        <w:t>Abstract of votes. A copy of the abstract of votes of the election shall be sent to the state racing and gaming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21.820(6)</w:t>
      </w:r>
      <w:r>
        <w:rPr>
          <w:rFonts w:ascii="Times New Roman" w:hAnsi="Times New Roman"/>
          <w:b w:val="false"/>
          <w:i w:val="false"/>
          <w:color w:val="000000"/>
          <w:sz w:val="22"/>
        </w:rPr>
        <w:t> </w:t>
      </w:r>
      <w:r>
        <w:rPr>
          <w:rFonts w:ascii="Times New Roman" w:hAnsi="Times New Roman"/>
          <w:b w:val="false"/>
          <w:i w:val="false"/>
          <w:color w:val="000000"/>
          <w:sz w:val="22"/>
        </w:rPr>
        <w:t>Ballot form for general election for continuing operation of gambling games at pari-mutuel racetracks:</w:t>
      </w:r>
    </w:p>
    <w:p>
      <w:pPr>
        <w:spacing w:before="0" w:after="0"/>
        <w:ind w:left="120"/>
        <w:jc w:val="center"/>
      </w:pPr>
      <w:r>
        <w:rPr>
          <w:rFonts w:ascii="Times New Roman" w:hAnsi="Times New Roman"/>
          <w:b w:val="false"/>
          <w:i w:val="false"/>
          <w:color w:val="000000"/>
          <w:sz w:val="22"/>
        </w:rPr>
        <w:t>(Insert letter to be assigned by the commissioner)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Shall the following public measure be adopted?</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5595"/>
        <w:gridCol w:w="5595"/>
      </w:tblGrid>
      <w:tr>
        <w:trPr>
          <w:trHeight w:val="270" w:hRule="atLeast"/>
        </w:trPr>
        <w:tc>
          <w:tcPr>
            <w:tcW w:w="5595" w:type="dxa"/>
            <w:tcBorders/>
            <w:tcMar>
              <w:top w:w="30" w:type="dxa"/>
              <w:left w:w="30" w:type="dxa"/>
              <w:bottom w:w="15" w:type="dxa"/>
              <w:right w:w="30" w:type="dxa"/>
            </w:tcMar>
            <w:vAlign w:val="top"/>
          </w:tcPr>
          <w:p>
            <w:pPr>
              <w:spacing w:before="0" w:after="0"/>
              <w:ind w:left="160"/>
              <w:jc w:val="left"/>
            </w:pPr>
            <w:r>
              <w:drawing>
                <wp:inline distT="0" distB="0" distL="0" distR="0">
                  <wp:extent cx="342900" cy="114300"/>
                  <wp:effectExtent l="0" t="0" r="0" b="0"/>
                  <wp:docPr id="8" name="" descr=""/>
                  <wp:cNvGraphicFramePr>
                    <a:graphicFrameLocks noChangeAspect="true"/>
                  </wp:cNvGraphicFramePr>
                  <a:graphic>
                    <a:graphicData uri="http://schemas.openxmlformats.org/drawingml/2006/picture">
                      <pic:pic>
                        <pic:nvPicPr>
                          <pic:cNvPr id="1" name=""/>
                          <pic:cNvPicPr/>
                        </pic:nvPicPr>
                        <pic:blipFill>
                          <a:blip r:embed="rId5"/>
                          <a:stretch>
                            <a:fillRect/>
                          </a:stretch>
                        </pic:blipFill>
                        <pic:spPr>
                          <a:xfrm>
                            <a:off x="0" y="0"/>
                            <a:ext cx="342900" cy="114300"/>
                          </a:xfrm>
                          <a:prstGeom prst="rect">
                            <a:avLst/>
                          </a:prstGeom>
                        </pic:spPr>
                      </pic:pic>
                    </a:graphicData>
                  </a:graphic>
                </wp:inline>
              </w:drawing>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YES</w:t>
            </w:r>
          </w:p>
        </w:tc>
      </w:tr>
      <w:tr>
        <w:trPr>
          <w:trHeight w:val="270" w:hRule="atLeast"/>
        </w:trPr>
        <w:tc>
          <w:tcPr>
            <w:tcW w:w="5595" w:type="dxa"/>
            <w:tcBorders/>
            <w:tcMar>
              <w:top w:w="30" w:type="dxa"/>
              <w:left w:w="30" w:type="dxa"/>
              <w:bottom w:w="15" w:type="dxa"/>
              <w:right w:w="30" w:type="dxa"/>
            </w:tcMar>
            <w:vAlign w:val="top"/>
          </w:tcPr>
          <w:p>
            <w:pPr>
              <w:spacing w:before="0" w:after="0"/>
              <w:ind w:left="160"/>
              <w:jc w:val="left"/>
            </w:pPr>
            <w:r>
              <w:drawing>
                <wp:inline distT="0" distB="0" distL="0" distR="0">
                  <wp:extent cx="342900" cy="114300"/>
                  <wp:effectExtent l="0" t="0" r="0" b="0"/>
                  <wp:docPr id="9" name="" descr=""/>
                  <wp:cNvGraphicFramePr>
                    <a:graphicFrameLocks noChangeAspect="true"/>
                  </wp:cNvGraphicFramePr>
                  <a:graphic>
                    <a:graphicData uri="http://schemas.openxmlformats.org/drawingml/2006/picture">
                      <pic:pic>
                        <pic:nvPicPr>
                          <pic:cNvPr id="1" name=""/>
                          <pic:cNvPicPr/>
                        </pic:nvPicPr>
                        <pic:blipFill>
                          <a:blip r:embed="rId5"/>
                          <a:stretch>
                            <a:fillRect/>
                          </a:stretch>
                        </pic:blipFill>
                        <pic:spPr>
                          <a:xfrm>
                            <a:off x="0" y="0"/>
                            <a:ext cx="342900" cy="114300"/>
                          </a:xfrm>
                          <a:prstGeom prst="rect">
                            <a:avLst/>
                          </a:prstGeom>
                        </pic:spPr>
                      </pic:pic>
                    </a:graphicData>
                  </a:graphic>
                </wp:inline>
              </w:drawing>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w:t>
            </w:r>
          </w:p>
        </w:tc>
      </w:tr>
    </w:tbl>
    <w:p>
      <w:pPr>
        <w:spacing w:before="0" w:after="0"/>
        <w:ind w:left="120"/>
        <w:jc w:val="both"/>
      </w:pPr>
      <w:r>
        <w:rPr>
          <w:rFonts w:ascii="Times New Roman" w:hAnsi="Times New Roman"/>
          <w:b w:val="false"/>
          <w:i w:val="false"/>
          <w:color w:val="000000"/>
          <w:sz w:val="22"/>
        </w:rPr>
        <w:t>Summary: The continued operation of gambling games at (name of pari-mutuel racetrack) in _______________ County is approved.</w:t>
      </w:r>
    </w:p>
    <w:p>
      <w:pPr>
        <w:spacing w:before="0" w:after="0"/>
        <w:ind w:left="120"/>
        <w:jc w:val="both"/>
      </w:pPr>
      <w:r>
        <w:rPr>
          <w:rFonts w:ascii="Times New Roman" w:hAnsi="Times New Roman"/>
          <w:b w:val="false"/>
          <w:i w:val="false"/>
          <w:color w:val="000000"/>
          <w:sz w:val="22"/>
        </w:rPr>
        <w:t>The continued operation of gambling games at (name of pari-mutuel racetrack) in _______________ County is approved. If approved by a majority of the voters, operation of gambling games may continue at (name of pari-mutuel racetrack) in _______________ County until the question is voted on again at the general election in eight years. If disapproved by a majority of the voters, gambling games at (name of pari-mutuel racetrack) in _______________ County will end.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21.820(7)</w:t>
      </w:r>
      <w:r>
        <w:rPr>
          <w:rFonts w:ascii="Times New Roman" w:hAnsi="Times New Roman"/>
          <w:b w:val="false"/>
          <w:i w:val="false"/>
          <w:color w:val="000000"/>
          <w:sz w:val="22"/>
        </w:rPr>
        <w:t> </w:t>
      </w:r>
      <w:r>
        <w:rPr>
          <w:rFonts w:ascii="Times New Roman" w:hAnsi="Times New Roman"/>
          <w:b w:val="false"/>
          <w:i w:val="false"/>
          <w:color w:val="000000"/>
          <w:sz w:val="22"/>
        </w:rPr>
        <w:t>Ballot form for general election for continuing gambling games on an excursion gambling boat or at a gambling structure:</w:t>
      </w:r>
    </w:p>
    <w:p>
      <w:pPr>
        <w:spacing w:before="0" w:after="0"/>
        <w:ind w:left="120"/>
        <w:jc w:val="center"/>
      </w:pPr>
      <w:r>
        <w:rPr>
          <w:rFonts w:ascii="Times New Roman" w:hAnsi="Times New Roman"/>
          <w:b w:val="false"/>
          <w:i w:val="false"/>
          <w:color w:val="000000"/>
          <w:sz w:val="22"/>
        </w:rPr>
        <w:t>(Insert letter to be assigned by the commissioner)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Shall the following public measure be adopted?</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5595"/>
        <w:gridCol w:w="5595"/>
      </w:tblGrid>
      <w:tr>
        <w:trPr>
          <w:trHeight w:val="270" w:hRule="atLeast"/>
        </w:trPr>
        <w:tc>
          <w:tcPr>
            <w:tcW w:w="5595" w:type="dxa"/>
            <w:tcBorders/>
            <w:tcMar>
              <w:top w:w="30" w:type="dxa"/>
              <w:left w:w="30" w:type="dxa"/>
              <w:bottom w:w="15" w:type="dxa"/>
              <w:right w:w="30" w:type="dxa"/>
            </w:tcMar>
            <w:vAlign w:val="top"/>
          </w:tcPr>
          <w:p>
            <w:pPr>
              <w:spacing w:before="0" w:after="0"/>
              <w:ind w:left="160"/>
              <w:jc w:val="left"/>
            </w:pPr>
            <w:r>
              <w:drawing>
                <wp:inline distT="0" distB="0" distL="0" distR="0">
                  <wp:extent cx="342900" cy="114300"/>
                  <wp:effectExtent l="0" t="0" r="0" b="0"/>
                  <wp:docPr id="10" name="" descr=""/>
                  <wp:cNvGraphicFramePr>
                    <a:graphicFrameLocks noChangeAspect="true"/>
                  </wp:cNvGraphicFramePr>
                  <a:graphic>
                    <a:graphicData uri="http://schemas.openxmlformats.org/drawingml/2006/picture">
                      <pic:pic>
                        <pic:nvPicPr>
                          <pic:cNvPr id="1" name=""/>
                          <pic:cNvPicPr/>
                        </pic:nvPicPr>
                        <pic:blipFill>
                          <a:blip r:embed="rId5"/>
                          <a:stretch>
                            <a:fillRect/>
                          </a:stretch>
                        </pic:blipFill>
                        <pic:spPr>
                          <a:xfrm>
                            <a:off x="0" y="0"/>
                            <a:ext cx="342900" cy="114300"/>
                          </a:xfrm>
                          <a:prstGeom prst="rect">
                            <a:avLst/>
                          </a:prstGeom>
                        </pic:spPr>
                      </pic:pic>
                    </a:graphicData>
                  </a:graphic>
                </wp:inline>
              </w:drawing>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YES</w:t>
            </w:r>
          </w:p>
        </w:tc>
      </w:tr>
      <w:tr>
        <w:trPr>
          <w:trHeight w:val="270" w:hRule="atLeast"/>
        </w:trPr>
        <w:tc>
          <w:tcPr>
            <w:tcW w:w="5595" w:type="dxa"/>
            <w:tcBorders/>
            <w:tcMar>
              <w:top w:w="30" w:type="dxa"/>
              <w:left w:w="30" w:type="dxa"/>
              <w:bottom w:w="15" w:type="dxa"/>
              <w:right w:w="30" w:type="dxa"/>
            </w:tcMar>
            <w:vAlign w:val="top"/>
          </w:tcPr>
          <w:p>
            <w:pPr>
              <w:spacing w:before="0" w:after="0"/>
              <w:ind w:left="160"/>
              <w:jc w:val="left"/>
            </w:pPr>
            <w:r>
              <w:drawing>
                <wp:inline distT="0" distB="0" distL="0" distR="0">
                  <wp:extent cx="342900" cy="114300"/>
                  <wp:effectExtent l="0" t="0" r="0" b="0"/>
                  <wp:docPr id="11" name="" descr=""/>
                  <wp:cNvGraphicFramePr>
                    <a:graphicFrameLocks noChangeAspect="true"/>
                  </wp:cNvGraphicFramePr>
                  <a:graphic>
                    <a:graphicData uri="http://schemas.openxmlformats.org/drawingml/2006/picture">
                      <pic:pic>
                        <pic:nvPicPr>
                          <pic:cNvPr id="1" name=""/>
                          <pic:cNvPicPr/>
                        </pic:nvPicPr>
                        <pic:blipFill>
                          <a:blip r:embed="rId5"/>
                          <a:stretch>
                            <a:fillRect/>
                          </a:stretch>
                        </pic:blipFill>
                        <pic:spPr>
                          <a:xfrm>
                            <a:off x="0" y="0"/>
                            <a:ext cx="342900" cy="114300"/>
                          </a:xfrm>
                          <a:prstGeom prst="rect">
                            <a:avLst/>
                          </a:prstGeom>
                        </pic:spPr>
                      </pic:pic>
                    </a:graphicData>
                  </a:graphic>
                </wp:inline>
              </w:drawing>
            </w:r>
          </w:p>
        </w:tc>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NO</w:t>
            </w:r>
          </w:p>
        </w:tc>
      </w:tr>
    </w:tbl>
    <w:p>
      <w:pPr>
        <w:spacing w:before="0" w:after="0"/>
        <w:ind w:left="120"/>
        <w:jc w:val="both"/>
      </w:pPr>
      <w:r>
        <w:rPr>
          <w:rFonts w:ascii="Times New Roman" w:hAnsi="Times New Roman"/>
          <w:b w:val="false"/>
          <w:i w:val="false"/>
          <w:color w:val="000000"/>
          <w:sz w:val="22"/>
        </w:rPr>
        <w:t>Summary: The continued operation of gambling games on an excursion gambling boat or at a gambling structure in _______________ County is approved.</w:t>
      </w:r>
    </w:p>
    <w:p>
      <w:pPr>
        <w:spacing w:before="0" w:after="0"/>
        <w:ind w:left="120"/>
        <w:jc w:val="both"/>
      </w:pPr>
      <w:r>
        <w:rPr>
          <w:rFonts w:ascii="Times New Roman" w:hAnsi="Times New Roman"/>
          <w:b w:val="false"/>
          <w:i w:val="false"/>
          <w:color w:val="000000"/>
          <w:sz w:val="22"/>
        </w:rPr>
        <w:t>The continued operation of gambling games on an excursion gambling boat or at a gambling structure in _______________ County is approved. If approved by a majority of the voters, operation of gambling games may continue on an excursion gambling boat or at a gambling structure in _______________ County until the question is voted on again at the general election in eight years. If disapproved by a majority of voters, gambling games on an excursion gambling boat or at a gambling structure in _______________ County will end nine years from the date of the original issue of the license to the current licensee.</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7">
        <w:r>
          <w:rPr>
            <w:rStyle w:val="Hyperlink"/>
            <w:rFonts w:ascii="Times New Roman" w:hAnsi="Times New Roman"/>
            <w:b w:val="false"/>
            <w:i w:val="false"/>
            <w:color w:val="000000"/>
            <w:sz w:val="22"/>
          </w:rPr>
          <w:t>99F.7</w:t>
        </w:r>
      </w:hyperlink>
      <w:r>
        <w:rPr>
          <w:rFonts w:ascii="Times New Roman" w:hAnsi="Times New Roman"/>
          <w:b w:val="false"/>
          <w:i w:val="false"/>
          <w:color w:val="000000"/>
          <w:sz w:val="22"/>
        </w:rPr>
        <w:t xml:space="preserve"> and Iowa Code Supplement section </w:t>
      </w:r>
      <w:hyperlink r:id="rId8">
        <w:r>
          <w:rPr>
            <w:rStyle w:val="Hyperlink"/>
            <w:rFonts w:ascii="Times New Roman" w:hAnsi="Times New Roman"/>
            <w:b w:val="false"/>
            <w:i w:val="false"/>
            <w:color w:val="000000"/>
            <w:sz w:val="22"/>
          </w:rPr>
          <w:t>99F.4D</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8045B</w:t>
      </w:r>
      <w:r>
        <w:rPr>
          <w:rFonts w:ascii="Times New Roman" w:hAnsi="Times New Roman"/>
          <w:b w:val="false"/>
          <w:i w:val="false"/>
          <w:color w:val="000000"/>
          <w:sz w:val="16"/>
        </w:rPr>
        <w:t>, IAB 8/26/09, effective 7/27/09</w:t>
      </w:r>
      <w:r>
        <w:rPr>
          <w:rFonts w:ascii="Times New Roman" w:hAnsi="Times New Roman"/>
          <w:b w:val="false"/>
          <w:i w:val="false"/>
          <w:color w:val="000000"/>
          <w:sz w:val="16"/>
        </w:rPr>
        <w:t xml:space="preserve">; </w:t>
      </w:r>
      <w:r>
        <w:rPr>
          <w:rFonts w:ascii="Times New Roman" w:hAnsi="Times New Roman"/>
          <w:b/>
          <w:i w:val="false"/>
          <w:color w:val="000000"/>
          <w:sz w:val="16"/>
        </w:rPr>
        <w:t>ARC 8779B</w:t>
      </w:r>
      <w:r>
        <w:rPr>
          <w:rFonts w:ascii="Times New Roman" w:hAnsi="Times New Roman"/>
          <w:b w:val="false"/>
          <w:i w:val="false"/>
          <w:color w:val="000000"/>
          <w:sz w:val="16"/>
        </w:rPr>
        <w:t>, IAB 6/2/10, effective 7/1/10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39.2.pdf" Type="http://schemas.openxmlformats.org/officeDocument/2006/relationships/hyperlink" Id="rId4"/>
    <Relationship Target="media/document_image_rId5.gif" Type="http://schemas.openxmlformats.org/officeDocument/2006/relationships/image" Id="rId5"/>
    <Relationship TargetMode="External" Target="https://www.legis.iowa.gov/docs/ico/chapter/99F.7.pdf" Type="http://schemas.openxmlformats.org/officeDocument/2006/relationships/hyperlink" Id="rId6"/>
    <Relationship TargetMode="External" Target="https://www.legis.iowa.gov/docs/ico/chapter/99F.7.pdf" Type="http://schemas.openxmlformats.org/officeDocument/2006/relationships/hyperlink" Id="rId7"/>
    <Relationship TargetMode="External" Target="https://www.legis.iowa.gov/docs/ico/chapter/99F.4D.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