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721—21.800</w:t>
      </w:r>
      <w:r>
        <w:rPr>
          <w:rFonts w:ascii="Times New Roman" w:hAnsi="Times New Roman"/>
          <w:b/>
          <w:i w:val="false"/>
          <w:color w:val="000000"/>
          <w:sz w:val="22"/>
        </w:rPr>
        <w:t xml:space="preserve">(423B) </w:t>
      </w:r>
      <w:r>
        <w:rPr>
          <w:rFonts w:ascii="Times New Roman" w:hAnsi="Times New Roman"/>
          <w:b/>
          <w:i w:val="false"/>
          <w:color w:val="000000"/>
          <w:sz w:val="22"/>
        </w:rPr>
        <w:t xml:space="preserve">Local sales and services tax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imposition, rate change, use change, or repeal of local sales and services taxes shall be filed with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signing the petition shall include the person’s address (including street number, if any) and the date that the person signed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the petition, the supervisors shall provide written notice to the county commissioner of elections directing that an election be held to present to the voters of the entire county the question of imposition, rate change, use change, or repeal of a local sales and services tax. In the notice the supervisors shall include the date of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election shall be held on the first possible special election date for counties set forth in Iowa Code section </w:t>
      </w:r>
      <w:hyperlink r:id="rId4">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notice is given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the method of initiating a local option tax election described in subrule </w:t>
      </w:r>
      <w:hyperlink r:id="rId5">
        <w:r>
          <w:rPr>
            <w:rStyle w:val="Hyperlink"/>
            <w:rFonts w:ascii="Times New Roman" w:hAnsi="Times New Roman"/>
            <w:b w:val="false"/>
            <w:i w:val="false"/>
            <w:color w:val="000000"/>
            <w:sz w:val="22"/>
          </w:rPr>
          <w:t>21.800(1)</w:t>
        </w:r>
      </w:hyperlink>
      <w:r>
        <w:rPr>
          <w:rFonts w:ascii="Times New Roman" w:hAnsi="Times New Roman"/>
          <w:b w:val="false"/>
          <w:i w:val="false"/>
          <w:color w:val="000000"/>
          <w:sz w:val="22"/>
        </w:rPr>
        <w:t xml:space="preserve">, governing bodies of cities and the county may initiate a local option tax election by filing motions with the county auditor pursuant to Iowa Code section </w:t>
      </w:r>
      <w:hyperlink r:id="rId6">
        <w:r>
          <w:rPr>
            <w:rStyle w:val="Hyperlink"/>
            <w:rFonts w:ascii="Times New Roman" w:hAnsi="Times New Roman"/>
            <w:b w:val="false"/>
            <w:i w:val="false"/>
            <w:color w:val="000000"/>
            <w:sz w:val="22"/>
          </w:rPr>
          <w:t>423B.1, subsection 4, paragraph </w:t>
        </w:r>
        <w:r>
          <w:rPr>
            <w:rFonts w:ascii="Times New Roman" w:hAnsi="Times New Roman"/>
            <w:b w:val="false"/>
            <w:i/>
            <w:color w:val="000000"/>
            <w:sz w:val="22"/>
          </w:rPr>
          <w:t>“b,”</w:t>
        </w:r>
      </w:hyperlink>
      <w:r>
        <w:rPr>
          <w:rFonts w:ascii="Times New Roman" w:hAnsi="Times New Roman"/>
          <w:b w:val="false"/>
          <w:i w:val="false"/>
          <w:color w:val="000000"/>
          <w:sz w:val="22"/>
        </w:rPr>
        <w:t xml:space="preserve"> requesting submission of a local option tax imposition, rate change, use change, or repeal to the qualified electors. Within 30 days of receiving a sufficient number of motions, the county commissioner shall notify affected jurisdictions of the local option tax election date. The election shall be held on the first possible special election date for counties set forth in Iowa Code section </w:t>
      </w:r>
      <w:hyperlink r:id="rId7">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sooner than 84 days after the date upon which the commissioner received the motion triggering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21.800(3)</w:t>
      </w:r>
      <w:r>
        <w:rPr>
          <w:rFonts w:ascii="Times New Roman" w:hAnsi="Times New Roman"/>
          <w:b w:val="false"/>
          <w:i w:val="false"/>
          <w:color w:val="000000"/>
          <w:sz w:val="22"/>
        </w:rPr>
        <w:t> </w:t>
      </w:r>
      <w:r>
        <w:rPr>
          <w:rFonts w:ascii="Times New Roman" w:hAnsi="Times New Roman"/>
          <w:b w:val="false"/>
          <w:i w:val="false"/>
          <w:color w:val="000000"/>
          <w:sz w:val="22"/>
        </w:rPr>
        <w:t>Notice of local sales and services tax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less than 60 days before the date that a local sales and services tax election will be held, the county commissioner of elections shall publish notice of the ballot proposition. The notice does not need to include sample ballots, but shall include all of the information that will appear on the ballot for each city and for the voters in the unincorporated areas of the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councils and the supervisors shall provide to the county commissioner the following information to be included in the notice and on the ballots for imposition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the tax will be imposed (which shall be the next implementation date provided in Iowa Code section </w:t>
      </w:r>
      <w:hyperlink r:id="rId8">
        <w:r>
          <w:rPr>
            <w:rStyle w:val="Hyperlink"/>
            <w:rFonts w:ascii="Times New Roman" w:hAnsi="Times New Roman"/>
            <w:b w:val="false"/>
            <w:i w:val="false"/>
            <w:color w:val="000000"/>
            <w:sz w:val="22"/>
          </w:rPr>
          <w:t>423B.6</w:t>
        </w:r>
      </w:hyperlink>
      <w:r>
        <w:rPr>
          <w:rFonts w:ascii="Times New Roman" w:hAnsi="Times New Roman"/>
          <w:b w:val="false"/>
          <w:i w:val="false"/>
          <w:color w:val="000000"/>
          <w:sz w:val="22"/>
        </w:rPr>
        <w:t xml:space="preserve"> following the date of the election and at least 90 days after the date of the election, except that an election to impose a local option tax on a date immediately following the scheduled repeal date of an existing similar tax may be held at any time that otherwise complies with the requirements of Iowa Code chapter </w:t>
      </w:r>
      <w:hyperlink r:id="rId9">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The imposition date shall be uniform in all areas of the county voting on the tax at the same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amount of local option tax revenues that will be used for property tax relief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purposes other than property tax relief for which revenues will be expended in the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to be included in the notice shall be provided to the commissioner by the city councils of each city in the county not later than 67 days before the date of the election. If a jurisdiction fails to provide the information in subparagraphs </w:t>
      </w:r>
      <w:hyperlink r:id="rId10">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21.800(3)</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above, the following information shall be substituted in the notice and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percent (1%) for the rate of the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Zero percent (0%) for property tax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purpose for which the revenues will otherwise be expended is: Any lawful purpose of the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election provided for in Iowa Code section </w:t>
      </w:r>
      <w:hyperlink r:id="rId13">
        <w:r>
          <w:rPr>
            <w:rStyle w:val="Hyperlink"/>
            <w:rFonts w:ascii="Times New Roman" w:hAnsi="Times New Roman"/>
            <w:b w:val="false"/>
            <w:i w:val="false"/>
            <w:color w:val="000000"/>
            <w:sz w:val="22"/>
          </w:rPr>
          <w:t>49.53</w:t>
        </w:r>
      </w:hyperlink>
      <w:r>
        <w:rPr>
          <w:rFonts w:ascii="Times New Roman" w:hAnsi="Times New Roman"/>
          <w:b w:val="false"/>
          <w:i w:val="false"/>
          <w:color w:val="000000"/>
          <w:sz w:val="22"/>
        </w:rPr>
        <w:t xml:space="preserve"> shall also be published at the time and in the manner specified in that section.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423B.1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9.2.pdf" Type="http://schemas.openxmlformats.org/officeDocument/2006/relationships/hyperlink" Id="rId4"/>
    <Relationship TargetMode="External" Target="https://www.legis.iowa.gov/docs/iac/rule/721.21.800.pdf" Type="http://schemas.openxmlformats.org/officeDocument/2006/relationships/hyperlink" Id="rId5"/>
    <Relationship TargetMode="External" Target="https://www.legis.iowa.gov/docs/ico/chapter/423B.1.pdf" Type="http://schemas.openxmlformats.org/officeDocument/2006/relationships/hyperlink" Id="rId6"/>
    <Relationship TargetMode="External" Target="https://www.legis.iowa.gov/docs/ico/chapter/39.2.pdf" Type="http://schemas.openxmlformats.org/officeDocument/2006/relationships/hyperlink" Id="rId7"/>
    <Relationship TargetMode="External" Target="https://www.legis.iowa.gov/docs/ico/chapter/423B.6.pdf" Type="http://schemas.openxmlformats.org/officeDocument/2006/relationships/hyperlink" Id="rId8"/>
    <Relationship TargetMode="External" Target="https://www.legis.iowa.gov/docs/ico/chapter/423B.pdf" Type="http://schemas.openxmlformats.org/officeDocument/2006/relationships/hyperlink" Id="rId9"/>
    <Relationship TargetMode="External" Target="https://www.legis.iowa.gov/docs/iac/rule/721.21.800.pdf" Type="http://schemas.openxmlformats.org/officeDocument/2006/relationships/hyperlink" Id="rId10"/>
    <Relationship TargetMode="External" Target="https://www.legis.iowa.gov/docs/iac/rule/721.21.800.pdf" Type="http://schemas.openxmlformats.org/officeDocument/2006/relationships/hyperlink" Id="rId11"/>
    <Relationship TargetMode="External" Target="https://www.legis.iowa.gov/docs/iac/rule/721.21.800.pdf" Type="http://schemas.openxmlformats.org/officeDocument/2006/relationships/hyperlink" Id="rId12"/>
    <Relationship TargetMode="External" Target="https://www.legis.iowa.gov/docs/ico/chapter/49.53.pdf" Type="http://schemas.openxmlformats.org/officeDocument/2006/relationships/hyperlink" Id="rId13"/>
    <Relationship TargetMode="External" Target="https://www.legis.iowa.gov/docs/ico/chapter/423B.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