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721—21.76</w:t>
      </w:r>
      <w:r>
        <w:rPr>
          <w:rFonts w:ascii="Times New Roman" w:hAnsi="Times New Roman"/>
          <w:b/>
          <w:i w:val="false"/>
          <w:color w:val="000000"/>
          <w:sz w:val="22"/>
        </w:rPr>
        <w:t xml:space="preserve">(48A) </w:t>
      </w:r>
      <w:r>
        <w:rPr>
          <w:rFonts w:ascii="Times New Roman" w:hAnsi="Times New Roman"/>
          <w:b/>
          <w:i w:val="false"/>
          <w:color w:val="000000"/>
          <w:sz w:val="22"/>
        </w:rPr>
        <w:t xml:space="preserve">Electronic poll book training for poll workers. </w:t>
      </w:r>
      <w:r>
        <w:rPr>
          <w:rFonts w:ascii="Times New Roman" w:hAnsi="Times New Roman"/>
          <w:b w:val="false"/>
          <w:i w:val="false"/>
          <w:color w:val="000000"/>
          <w:sz w:val="22"/>
        </w:rPr>
        <w:t>The state commissioner shall create and maintain training materials for poll workers relating to voter identification and the use of electronic poll books. The training materials shall be available from the state commissioner’s website.</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2017 Iowa Acts, House File 516, section 16</w:t>
      </w:r>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8A.7A.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