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721—21.7</w:t>
      </w:r>
      <w:r>
        <w:rPr>
          <w:rFonts w:ascii="Times New Roman" w:hAnsi="Times New Roman"/>
          <w:b/>
          <w:i w:val="false"/>
          <w:color w:val="000000"/>
          <w:sz w:val="22"/>
        </w:rPr>
        <w:t xml:space="preserve">(48A) </w:t>
      </w:r>
      <w:r>
        <w:rPr>
          <w:rFonts w:ascii="Times New Roman" w:hAnsi="Times New Roman"/>
          <w:b/>
          <w:i w:val="false"/>
          <w:color w:val="000000"/>
          <w:sz w:val="22"/>
        </w:rPr>
        <w:t xml:space="preserve">Election day registration. </w:t>
      </w:r>
      <w:r>
        <w:rPr>
          <w:rFonts w:ascii="Times New Roman" w:hAnsi="Times New Roman"/>
          <w:b w:val="false"/>
          <w:i w:val="false"/>
          <w:color w:val="000000"/>
          <w:sz w:val="22"/>
        </w:rPr>
        <w:t xml:space="preserve">In addition to complying with the identification provisions in rule </w:t>
      </w:r>
      <w:hyperlink r:id="rId4">
        <w:r>
          <w:rPr>
            <w:rStyle w:val="Hyperlink"/>
            <w:rFonts w:ascii="Times New Roman" w:hAnsi="Times New Roman"/>
            <w:b w:val="false"/>
            <w:i w:val="false"/>
            <w:color w:val="000000"/>
            <w:sz w:val="22"/>
          </w:rPr>
          <w:t>721—21.3</w:t>
        </w:r>
      </w:hyperlink>
      <w:r>
        <w:rPr>
          <w:rFonts w:ascii="Times New Roman" w:hAnsi="Times New Roman"/>
          <w:b w:val="false"/>
          <w:i w:val="false"/>
          <w:color w:val="000000"/>
          <w:sz w:val="22"/>
        </w:rPr>
        <w:t>(49,48A), precinct election officials shall comply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21.7(1)</w:t>
      </w:r>
      <w:r>
        <w:rPr>
          <w:rFonts w:ascii="Times New Roman" w:hAnsi="Times New Roman"/>
          <w:b w:val="false"/>
          <w:i w:val="false"/>
          <w:color w:val="000000"/>
          <w:sz w:val="22"/>
        </w:rPr>
        <w:t> </w:t>
      </w:r>
      <w:r>
        <w:rPr>
          <w:rFonts w:ascii="Times New Roman" w:hAnsi="Times New Roman"/>
          <w:b w:val="false"/>
          <w:i w:val="false"/>
          <w:color w:val="000000"/>
          <w:sz w:val="22"/>
        </w:rPr>
        <w:t>Precinct election officials shall inspect the identification documents presented by election day registrants to verify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photograph shows the person who is registering to vote, and the document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on the identification document is the same as the name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address on the proof of residence document is in the precinct where the person is registering to vote and is current within 45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21.7(2)</w:t>
      </w:r>
      <w:r>
        <w:rPr>
          <w:rFonts w:ascii="Times New Roman" w:hAnsi="Times New Roman"/>
          <w:b w:val="false"/>
          <w:i w:val="false"/>
          <w:color w:val="000000"/>
          <w:sz w:val="22"/>
        </w:rPr>
        <w:t> </w:t>
      </w:r>
      <w:r>
        <w:rPr>
          <w:rFonts w:ascii="Times New Roman" w:hAnsi="Times New Roman"/>
          <w:b w:val="false"/>
          <w:i w:val="false"/>
          <w:color w:val="000000"/>
          <w:sz w:val="22"/>
        </w:rPr>
        <w:t>Precinct election officials shall verify that each person who attempts to attest to the identity and residence of a person who is registering to vote on election day is a registered voter in the precinct and has not attested for any other voter in the election. The officials shall note in the election register that the person has attested for an election day registrant.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21.7(3)</w:t>
      </w:r>
      <w:r>
        <w:rPr>
          <w:rFonts w:ascii="Times New Roman" w:hAnsi="Times New Roman"/>
          <w:b w:val="false"/>
          <w:i w:val="false"/>
          <w:color w:val="000000"/>
          <w:sz w:val="22"/>
        </w:rPr>
        <w:t> </w:t>
      </w:r>
      <w:r>
        <w:rPr>
          <w:rFonts w:ascii="Times New Roman" w:hAnsi="Times New Roman"/>
          <w:b w:val="false"/>
          <w:i w:val="false"/>
          <w:color w:val="000000"/>
          <w:sz w:val="22"/>
        </w:rPr>
        <w:t>Precinct election officials shall permit any person who is in line to vote at the time the polls close to register and vote on election day if the person otherwise meets all of the election day registration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21.7(4)</w:t>
      </w:r>
      <w:r>
        <w:rPr>
          <w:rFonts w:ascii="Times New Roman" w:hAnsi="Times New Roman"/>
          <w:b w:val="false"/>
          <w:i w:val="false"/>
          <w:color w:val="000000"/>
          <w:sz w:val="22"/>
        </w:rPr>
        <w:t> </w:t>
      </w:r>
      <w:r>
        <w:rPr>
          <w:rFonts w:ascii="Times New Roman" w:hAnsi="Times New Roman"/>
          <w:b w:val="false"/>
          <w:i w:val="false"/>
          <w:color w:val="000000"/>
          <w:sz w:val="22"/>
        </w:rPr>
        <w:t>In precincts where an electronic program is not used to check the name of an election day registrant against the statewide list of felons who have had their right to vote revoked, the voter shall be required to cast a provisional ballot. The voter shall be allowed to present evidence of the person’s right to vote until 12 noon on the Monday following the election, or if the law authorizing the election specifies that the supervisors canvass the votes earlier than the Monday following the election, the evidence must be received by the commissioner before the canvass for that election by the board of supervisors. Precinct election officials shall provide each election day registrant with a “Notice to Election Day Registrants” prepared by the state commissioner before allowing the voter to register and vote on election day. The “Notice to Election Day Registrants” prepared by the state commissioner will be posted on the state commissioner’s website.</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5">
        <w:r>
          <w:rPr>
            <w:rStyle w:val="Hyperlink"/>
            <w:rFonts w:ascii="Times New Roman" w:hAnsi="Times New Roman"/>
            <w:b w:val="false"/>
            <w:i w:val="false"/>
            <w:color w:val="000000"/>
            <w:sz w:val="22"/>
          </w:rPr>
          <w:t>48A.7A</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8045B</w:t>
      </w:r>
      <w:r>
        <w:rPr>
          <w:rFonts w:ascii="Times New Roman" w:hAnsi="Times New Roman"/>
          <w:b w:val="false"/>
          <w:i w:val="false"/>
          <w:color w:val="000000"/>
          <w:sz w:val="16"/>
        </w:rPr>
        <w:t>, IAB 8/26/09, effective 7/27/09</w:t>
      </w:r>
      <w:r>
        <w:rPr>
          <w:rFonts w:ascii="Times New Roman" w:hAnsi="Times New Roman"/>
          <w:b w:val="false"/>
          <w:i w:val="false"/>
          <w:color w:val="000000"/>
          <w:sz w:val="16"/>
        </w:rPr>
        <w:t xml:space="preserve">; </w:t>
      </w:r>
      <w:r>
        <w:rPr>
          <w:rFonts w:ascii="Times New Roman" w:hAnsi="Times New Roman"/>
          <w:b/>
          <w:i w:val="false"/>
          <w:color w:val="000000"/>
          <w:sz w:val="16"/>
        </w:rPr>
        <w:t>ARC 8777B</w:t>
      </w:r>
      <w:r>
        <w:rPr>
          <w:rFonts w:ascii="Times New Roman" w:hAnsi="Times New Roman"/>
          <w:b w:val="false"/>
          <w:i w:val="false"/>
          <w:color w:val="000000"/>
          <w:sz w:val="16"/>
        </w:rPr>
        <w:t>, IAB 6/2/10, effective 5/7/10</w:t>
      </w:r>
      <w:r>
        <w:rPr>
          <w:rFonts w:ascii="Times New Roman" w:hAnsi="Times New Roman"/>
          <w:b w:val="false"/>
          <w:i w:val="false"/>
          <w:color w:val="000000"/>
          <w:sz w:val="16"/>
        </w:rPr>
        <w:t xml:space="preserve">; </w:t>
      </w:r>
      <w:r>
        <w:rPr>
          <w:rFonts w:ascii="Times New Roman" w:hAnsi="Times New Roman"/>
          <w:b/>
          <w:i w:val="false"/>
          <w:color w:val="000000"/>
          <w:sz w:val="16"/>
        </w:rPr>
        <w:t>ARC 1831C</w:t>
      </w:r>
      <w:r>
        <w:rPr>
          <w:rFonts w:ascii="Times New Roman" w:hAnsi="Times New Roman"/>
          <w:b w:val="false"/>
          <w:i w:val="false"/>
          <w:color w:val="000000"/>
          <w:sz w:val="16"/>
        </w:rPr>
        <w:t>, IAB 1/21/15, effective 2/25/15</w:t>
      </w:r>
      <w:r>
        <w:rPr>
          <w:rFonts w:ascii="Times New Roman" w:hAnsi="Times New Roman"/>
          <w:b w:val="false"/>
          <w:i w:val="false"/>
          <w:color w:val="000000"/>
          <w:sz w:val="16"/>
        </w:rPr>
        <w:t xml:space="preserve">; </w:t>
      </w:r>
      <w:r>
        <w:rPr>
          <w:rFonts w:ascii="Times New Roman" w:hAnsi="Times New Roman"/>
          <w:b/>
          <w:i w:val="false"/>
          <w:color w:val="000000"/>
          <w:sz w:val="16"/>
        </w:rPr>
        <w:t>ARC 3447C</w:t>
      </w:r>
      <w:r>
        <w:rPr>
          <w:rFonts w:ascii="Times New Roman" w:hAnsi="Times New Roman"/>
          <w:b w:val="false"/>
          <w:i w:val="false"/>
          <w:color w:val="000000"/>
          <w:sz w:val="16"/>
        </w:rPr>
        <w:t>, IAB 11/8/17, effective 12/31/17</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21.21.3.pdf" Type="http://schemas.openxmlformats.org/officeDocument/2006/relationships/hyperlink" Id="rId4"/>
    <Relationship TargetMode="External" Target="https://www.legis.iowa.gov/docs/ico/chapter/48A.7A.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